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2B96">
      <w:pPr>
        <w:pStyle w:val="5"/>
        <w:widowControl/>
        <w:spacing w:line="480" w:lineRule="auto"/>
        <w:jc w:val="center"/>
        <w:rPr>
          <w:rStyle w:val="9"/>
          <w:rFonts w:ascii="Times New Roman" w:hAnsi="Times New Roman"/>
          <w:sz w:val="28"/>
          <w:szCs w:val="28"/>
        </w:rPr>
      </w:pPr>
      <w:bookmarkStart w:id="0" w:name="_GoBack"/>
      <w:r>
        <w:rPr>
          <w:rStyle w:val="9"/>
          <w:rFonts w:ascii="Times New Roman" w:hAnsi="Times New Roman"/>
          <w:sz w:val="28"/>
          <w:szCs w:val="28"/>
        </w:rPr>
        <w:t>The quality and reliability of short videos about developmental dysplasia of the hip on TikTok and Bilibili: A cross-sectional study</w:t>
      </w:r>
    </w:p>
    <w:bookmarkEnd w:id="0"/>
    <w:p w14:paraId="26102380">
      <w:pPr>
        <w:spacing w:line="480" w:lineRule="auto"/>
        <w:rPr>
          <w:rFonts w:ascii="Times New Roman" w:hAnsi="Times New Roman" w:cs="Times New Roman"/>
          <w:sz w:val="24"/>
        </w:rPr>
      </w:pPr>
    </w:p>
    <w:p w14:paraId="3CA31B7E">
      <w:pPr>
        <w:spacing w:line="480" w:lineRule="auto"/>
        <w:jc w:val="center"/>
        <w:rPr>
          <w:rFonts w:ascii="Times New Roman" w:hAnsi="Times New Roman" w:cs="Times New Roman"/>
          <w:b/>
          <w:bCs/>
          <w:sz w:val="24"/>
        </w:rPr>
      </w:pPr>
      <w:r>
        <w:rPr>
          <w:rFonts w:ascii="Times New Roman" w:hAnsi="Times New Roman" w:cs="Times New Roman"/>
          <w:b/>
          <w:bCs/>
          <w:sz w:val="24"/>
        </w:rPr>
        <w:t>Ping Yan</w:t>
      </w:r>
      <w:r>
        <w:rPr>
          <w:rFonts w:ascii="Times New Roman" w:hAnsi="Times New Roman" w:cs="Times New Roman"/>
          <w:b/>
          <w:bCs/>
          <w:sz w:val="24"/>
          <w:vertAlign w:val="superscript"/>
        </w:rPr>
        <w:t>1</w:t>
      </w:r>
      <w:r>
        <w:rPr>
          <w:rFonts w:hint="eastAsia" w:ascii="Times New Roman" w:hAnsi="Times New Roman" w:cs="Times New Roman"/>
          <w:b/>
          <w:bCs/>
          <w:sz w:val="24"/>
          <w:vertAlign w:val="superscript"/>
          <w:lang w:val="en-US" w:eastAsia="zh-CN"/>
        </w:rPr>
        <w:t xml:space="preserve"> </w:t>
      </w:r>
      <w:r>
        <w:rPr>
          <w:rFonts w:ascii="Times New Roman" w:hAnsi="Times New Roman" w:cs="Times New Roman"/>
          <w:b/>
          <w:bCs/>
          <w:sz w:val="24"/>
        </w:rPr>
        <w:t>, Ying Tang</w:t>
      </w:r>
      <w:r>
        <w:rPr>
          <w:rFonts w:hint="eastAsia" w:ascii="Times New Roman" w:hAnsi="Times New Roman" w:cs="Times New Roman"/>
          <w:b/>
          <w:bCs/>
          <w:sz w:val="24"/>
          <w:vertAlign w:val="superscript"/>
        </w:rPr>
        <w:t>2</w:t>
      </w:r>
      <w:r>
        <w:rPr>
          <w:rFonts w:hint="eastAsia" w:ascii="Times New Roman" w:hAnsi="Times New Roman" w:cs="Times New Roman"/>
          <w:b/>
          <w:bCs/>
          <w:sz w:val="24"/>
        </w:rPr>
        <w:t>, Lichun Hua</w:t>
      </w:r>
      <w:r>
        <w:rPr>
          <w:rFonts w:hint="eastAsia" w:ascii="Times New Roman" w:hAnsi="Times New Roman" w:cs="Times New Roman"/>
          <w:b/>
          <w:bCs/>
          <w:sz w:val="24"/>
          <w:vertAlign w:val="superscript"/>
        </w:rPr>
        <w:t>2*</w:t>
      </w:r>
    </w:p>
    <w:p w14:paraId="5862904E">
      <w:pPr>
        <w:spacing w:line="480" w:lineRule="auto"/>
        <w:rPr>
          <w:rFonts w:ascii="Times New Roman" w:hAnsi="Times New Roman" w:cs="Times New Roman"/>
          <w:sz w:val="24"/>
        </w:rPr>
      </w:pPr>
    </w:p>
    <w:p w14:paraId="5846F0E1">
      <w:pPr>
        <w:spacing w:line="480" w:lineRule="auto"/>
        <w:rPr>
          <w:rFonts w:ascii="Times New Roman" w:hAnsi="Times New Roman" w:cs="Times New Roman"/>
          <w:sz w:val="24"/>
        </w:rPr>
      </w:pPr>
      <w:r>
        <w:rPr>
          <w:rFonts w:ascii="Times New Roman" w:hAnsi="Times New Roman" w:cs="Times New Roman"/>
          <w:sz w:val="24"/>
          <w:vertAlign w:val="superscript"/>
        </w:rPr>
        <w:t>1</w:t>
      </w:r>
      <w:r>
        <w:rPr>
          <w:rFonts w:hint="eastAsia" w:ascii="Times New Roman" w:hAnsi="Times New Roman" w:cs="Times New Roman"/>
          <w:sz w:val="24"/>
        </w:rPr>
        <w:t>Department of Orthopedic Surgery, Children</w:t>
      </w:r>
      <w:r>
        <w:rPr>
          <w:rFonts w:ascii="Times New Roman" w:hAnsi="Times New Roman" w:cs="Times New Roman"/>
          <w:sz w:val="24"/>
        </w:rPr>
        <w:t>’</w:t>
      </w:r>
      <w:r>
        <w:rPr>
          <w:rFonts w:hint="eastAsia" w:ascii="Times New Roman" w:hAnsi="Times New Roman" w:cs="Times New Roman"/>
          <w:sz w:val="24"/>
        </w:rPr>
        <w:t>s Hospital of Nanjing Medical University, Nanjing, Jiangsu, China</w:t>
      </w:r>
    </w:p>
    <w:p w14:paraId="22736814">
      <w:pPr>
        <w:spacing w:line="480" w:lineRule="auto"/>
        <w:rPr>
          <w:rFonts w:ascii="Times New Roman" w:hAnsi="Times New Roman" w:cs="Times New Roman"/>
          <w:sz w:val="24"/>
        </w:rPr>
      </w:pPr>
      <w:r>
        <w:rPr>
          <w:rFonts w:hint="eastAsia" w:ascii="Times New Roman" w:hAnsi="Times New Roman" w:cs="Times New Roman"/>
          <w:sz w:val="24"/>
          <w:vertAlign w:val="superscript"/>
        </w:rPr>
        <w:t>2</w:t>
      </w:r>
      <w:r>
        <w:rPr>
          <w:rFonts w:hint="eastAsia" w:ascii="Times New Roman" w:hAnsi="Times New Roman" w:cs="Times New Roman"/>
          <w:sz w:val="24"/>
        </w:rPr>
        <w:t>Department of Ultrasound, Children</w:t>
      </w:r>
      <w:r>
        <w:rPr>
          <w:rFonts w:ascii="Times New Roman" w:hAnsi="Times New Roman" w:cs="Times New Roman"/>
          <w:sz w:val="24"/>
        </w:rPr>
        <w:t>’</w:t>
      </w:r>
      <w:r>
        <w:rPr>
          <w:rFonts w:hint="eastAsia" w:ascii="Times New Roman" w:hAnsi="Times New Roman" w:cs="Times New Roman"/>
          <w:sz w:val="24"/>
        </w:rPr>
        <w:t>s Hospital of Nanjing Medical University, Nanjing, Jiangsu, China</w:t>
      </w:r>
    </w:p>
    <w:p w14:paraId="2073713E">
      <w:pPr>
        <w:spacing w:line="480" w:lineRule="auto"/>
        <w:rPr>
          <w:rFonts w:ascii="Times New Roman" w:hAnsi="Times New Roman" w:cs="Times New Roman"/>
          <w:sz w:val="24"/>
        </w:rPr>
      </w:pPr>
      <w:r>
        <w:rPr>
          <w:rFonts w:hint="eastAsia" w:ascii="Times New Roman" w:hAnsi="Times New Roman" w:cs="Times New Roman"/>
          <w:sz w:val="24"/>
          <w:vertAlign w:val="superscript"/>
        </w:rPr>
        <w:t>*</w:t>
      </w:r>
      <w:r>
        <w:rPr>
          <w:rFonts w:hint="eastAsia" w:ascii="Times New Roman" w:hAnsi="Times New Roman" w:cs="Times New Roman"/>
          <w:sz w:val="24"/>
        </w:rPr>
        <w:t xml:space="preserve">Correspondence: Lichun Hua </w:t>
      </w:r>
    </w:p>
    <w:p w14:paraId="07CC2D52">
      <w:pPr>
        <w:spacing w:line="480" w:lineRule="auto"/>
        <w:rPr>
          <w:rFonts w:ascii="Times New Roman" w:hAnsi="Times New Roman" w:cs="Times New Roman"/>
          <w:sz w:val="24"/>
        </w:rPr>
      </w:pPr>
      <w:r>
        <w:rPr>
          <w:rFonts w:hint="eastAsia" w:ascii="Times New Roman" w:hAnsi="Times New Roman" w:cs="Times New Roman"/>
          <w:sz w:val="24"/>
        </w:rPr>
        <w:t>Email: lichunhua2025@126.com</w:t>
      </w:r>
    </w:p>
    <w:p w14:paraId="3EF35571">
      <w:pPr>
        <w:spacing w:line="480" w:lineRule="auto"/>
        <w:rPr>
          <w:rFonts w:ascii="Times New Roman" w:hAnsi="Times New Roman" w:cs="Times New Roman"/>
          <w:sz w:val="24"/>
        </w:rPr>
      </w:pPr>
      <w:r>
        <w:rPr>
          <w:rFonts w:ascii="Times New Roman" w:hAnsi="Times New Roman" w:cs="Times New Roman"/>
          <w:sz w:val="24"/>
        </w:rPr>
        <w:t>Address</w:t>
      </w:r>
      <w:r>
        <w:rPr>
          <w:rFonts w:hint="eastAsia" w:ascii="Times New Roman" w:hAnsi="Times New Roman" w:cs="Times New Roman"/>
          <w:sz w:val="24"/>
        </w:rPr>
        <w:t xml:space="preserve">: </w:t>
      </w:r>
      <w:r>
        <w:rPr>
          <w:rFonts w:ascii="Times New Roman" w:hAnsi="Times New Roman" w:cs="Times New Roman"/>
          <w:sz w:val="24"/>
        </w:rPr>
        <w:t>72 Guangzhou Road, Nanjing, Jiangsu, China</w:t>
      </w:r>
    </w:p>
    <w:p w14:paraId="54F72491">
      <w:pPr>
        <w:spacing w:line="360" w:lineRule="auto"/>
        <w:rPr>
          <w:rStyle w:val="9"/>
          <w:rFonts w:hint="eastAsia" w:ascii="Times New Roman" w:hAnsi="Times New Roman"/>
          <w:sz w:val="24"/>
          <w:szCs w:val="24"/>
        </w:rPr>
      </w:pPr>
    </w:p>
    <w:p w14:paraId="7B6F9FB0">
      <w:pPr>
        <w:pStyle w:val="5"/>
        <w:widowControl/>
        <w:spacing w:line="360" w:lineRule="auto"/>
        <w:rPr>
          <w:rStyle w:val="9"/>
          <w:rFonts w:ascii="Times New Roman" w:hAnsi="Times New Roman"/>
        </w:rPr>
      </w:pPr>
      <w:r>
        <w:rPr>
          <w:rStyle w:val="9"/>
          <w:rFonts w:ascii="Times New Roman" w:hAnsi="Times New Roman"/>
        </w:rPr>
        <w:t>Abstract</w:t>
      </w:r>
    </w:p>
    <w:p w14:paraId="5843D2B6">
      <w:pPr>
        <w:pStyle w:val="5"/>
        <w:widowControl/>
        <w:spacing w:line="360" w:lineRule="auto"/>
        <w:rPr>
          <w:rStyle w:val="9"/>
          <w:rFonts w:hint="eastAsia" w:ascii="Times New Roman" w:hAnsi="Times New Roman"/>
        </w:rPr>
      </w:pPr>
      <w:r>
        <w:rPr>
          <w:rStyle w:val="9"/>
          <w:rFonts w:hint="eastAsia" w:ascii="Times New Roman" w:hAnsi="Times New Roman"/>
        </w:rPr>
        <w:t xml:space="preserve">Objective: </w:t>
      </w:r>
      <w:r>
        <w:rPr>
          <w:rStyle w:val="9"/>
          <w:rFonts w:hint="eastAsia" w:ascii="Times New Roman" w:hAnsi="Times New Roman"/>
          <w:b w:val="0"/>
          <w:bCs/>
        </w:rPr>
        <w:t>To assess the quality and reliability of short videos about developmental dysplasia of the hip (DDH) on TikTok and Bilibili, two popular Chinese platforms.</w:t>
      </w:r>
    </w:p>
    <w:p w14:paraId="1244725A">
      <w:pPr>
        <w:pStyle w:val="5"/>
        <w:widowControl/>
        <w:spacing w:line="360" w:lineRule="auto"/>
        <w:rPr>
          <w:rStyle w:val="9"/>
          <w:rFonts w:hint="eastAsia" w:ascii="Times New Roman" w:hAnsi="Times New Roman"/>
          <w:b w:val="0"/>
          <w:bCs/>
        </w:rPr>
      </w:pPr>
      <w:r>
        <w:rPr>
          <w:rStyle w:val="9"/>
          <w:rFonts w:hint="eastAsia" w:ascii="Times New Roman" w:hAnsi="Times New Roman"/>
        </w:rPr>
        <w:t xml:space="preserve">Methods: </w:t>
      </w:r>
      <w:r>
        <w:rPr>
          <w:rStyle w:val="9"/>
          <w:rFonts w:hint="eastAsia" w:ascii="Times New Roman" w:hAnsi="Times New Roman"/>
          <w:b w:val="0"/>
          <w:bCs/>
        </w:rPr>
        <w:t>A cross-sectional study of 125 DDH-related videos from TikTok (82 videos) and Bilibili (43 videos) was conducted. Video characteristics, author types, and interaction metrics were analyzed. Video quality was assessed using the modified DISCERN (mDISCERN) and Global Quality Score (GQS).</w:t>
      </w:r>
    </w:p>
    <w:p w14:paraId="5F8175A6">
      <w:pPr>
        <w:pStyle w:val="5"/>
        <w:widowControl/>
        <w:spacing w:line="360" w:lineRule="auto"/>
        <w:rPr>
          <w:rStyle w:val="9"/>
          <w:rFonts w:hint="eastAsia" w:ascii="Times New Roman" w:hAnsi="Times New Roman"/>
          <w:b w:val="0"/>
          <w:bCs/>
        </w:rPr>
      </w:pPr>
      <w:r>
        <w:rPr>
          <w:rStyle w:val="9"/>
          <w:rFonts w:hint="eastAsia" w:ascii="Times New Roman" w:hAnsi="Times New Roman"/>
        </w:rPr>
        <w:t xml:space="preserve">Results: </w:t>
      </w:r>
      <w:r>
        <w:rPr>
          <w:rStyle w:val="9"/>
          <w:rFonts w:hint="eastAsia" w:ascii="Times New Roman" w:hAnsi="Times New Roman"/>
          <w:b w:val="0"/>
          <w:bCs/>
        </w:rPr>
        <w:t>Bilibili videos outperformed TikTok in terms of quality (higher GQS and mDISCERN scores). Author professionalism and video duration were significant positive predictors of quality. Paradoxically, higher interaction metrics (likes, shares, comments) were negatively correlated with video quality.</w:t>
      </w:r>
    </w:p>
    <w:p w14:paraId="2A7F19F3">
      <w:pPr>
        <w:pStyle w:val="5"/>
        <w:widowControl/>
        <w:spacing w:line="360" w:lineRule="auto"/>
        <w:rPr>
          <w:rStyle w:val="9"/>
          <w:rFonts w:hint="eastAsia" w:ascii="Times New Roman" w:hAnsi="Times New Roman"/>
        </w:rPr>
      </w:pPr>
      <w:r>
        <w:rPr>
          <w:rStyle w:val="9"/>
          <w:rFonts w:hint="eastAsia" w:ascii="Times New Roman" w:hAnsi="Times New Roman"/>
        </w:rPr>
        <w:t xml:space="preserve">Conclusion: </w:t>
      </w:r>
      <w:r>
        <w:rPr>
          <w:rStyle w:val="9"/>
          <w:rFonts w:hint="eastAsia" w:ascii="Times New Roman" w:hAnsi="Times New Roman"/>
          <w:b w:val="0"/>
          <w:bCs/>
        </w:rPr>
        <w:t>The study underscores the impact of author professionalism and video length on quality. Despite their popularity, videos with higher engagement often lack scientific rigor, pointing to the need for improved content moderation on short video platforms.</w:t>
      </w:r>
    </w:p>
    <w:p w14:paraId="265540F6">
      <w:pPr>
        <w:pStyle w:val="5"/>
        <w:widowControl/>
        <w:spacing w:line="360" w:lineRule="auto"/>
        <w:rPr>
          <w:rStyle w:val="9"/>
          <w:rFonts w:hint="eastAsia" w:ascii="Times New Roman" w:hAnsi="Times New Roman"/>
          <w:b w:val="0"/>
          <w:bCs/>
        </w:rPr>
      </w:pPr>
      <w:r>
        <w:rPr>
          <w:rStyle w:val="9"/>
          <w:rFonts w:ascii="Times New Roman" w:hAnsi="Times New Roman"/>
        </w:rPr>
        <w:t>Keywords</w:t>
      </w:r>
      <w:r>
        <w:rPr>
          <w:rStyle w:val="9"/>
          <w:rFonts w:ascii="Times New Roman" w:hAnsi="Times New Roman"/>
          <w:b w:val="0"/>
          <w:bCs/>
        </w:rPr>
        <w:t>: DDH, Short Video Platforms, Health Information Quality</w:t>
      </w:r>
      <w:r>
        <w:rPr>
          <w:rStyle w:val="9"/>
          <w:rFonts w:hint="eastAsia" w:ascii="Times New Roman" w:hAnsi="Times New Roman"/>
          <w:b w:val="0"/>
          <w:bCs/>
        </w:rPr>
        <w:t>, cross-sectional study</w:t>
      </w:r>
    </w:p>
    <w:p w14:paraId="3DE30D36">
      <w:pPr>
        <w:pStyle w:val="5"/>
        <w:widowControl/>
        <w:spacing w:line="360" w:lineRule="auto"/>
        <w:rPr>
          <w:rStyle w:val="9"/>
          <w:rFonts w:hint="eastAsia" w:ascii="Times New Roman" w:hAnsi="Times New Roman"/>
          <w:b w:val="0"/>
          <w:bCs/>
        </w:rPr>
      </w:pPr>
    </w:p>
    <w:p w14:paraId="3A222B21">
      <w:pPr>
        <w:pStyle w:val="5"/>
        <w:widowControl/>
        <w:spacing w:line="360" w:lineRule="auto"/>
        <w:rPr>
          <w:rStyle w:val="9"/>
          <w:rFonts w:ascii="Times New Roman" w:hAnsi="Times New Roman"/>
        </w:rPr>
      </w:pPr>
      <w:r>
        <w:rPr>
          <w:rStyle w:val="9"/>
          <w:rFonts w:ascii="Times New Roman" w:hAnsi="Times New Roman"/>
        </w:rPr>
        <w:t>Introduction</w:t>
      </w:r>
    </w:p>
    <w:p w14:paraId="50B62C30">
      <w:pPr>
        <w:pStyle w:val="5"/>
        <w:widowControl/>
        <w:spacing w:line="360" w:lineRule="auto"/>
        <w:rPr>
          <w:rFonts w:hint="eastAsia" w:ascii="Times New Roman" w:hAnsi="Times New Roman"/>
          <w:lang w:val="en-US" w:eastAsia="zh-CN"/>
        </w:rPr>
      </w:pPr>
      <w:r>
        <w:rPr>
          <w:rFonts w:hint="eastAsia" w:ascii="Times New Roman" w:hAnsi="Times New Roman"/>
        </w:rPr>
        <w:t>Developmental dysplasia of the hip (DDH) is a common pediatric skeletal disorder, especially among infants</w:t>
      </w:r>
      <w:r>
        <w:rPr>
          <w:rFonts w:ascii="Times New Roman" w:hAnsi="Times New Roman"/>
        </w:rPr>
        <w:fldChar w:fldCharType="begin">
          <w:fldData xml:space="preserve">PEVuZE5vdGU+PENpdGU+PEF1dGhvcj5UYW88L0F1dGhvcj48WWVhcj4yMDIzPC9ZZWFyPjxSZWNO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</w:fldData>
        </w:fldChar>
      </w:r>
      <w:r>
        <w:rPr>
          <w:rFonts w:hint="eastAsia" w:ascii="Times New Roman" w:hAnsi="Times New Roman"/>
        </w:rPr>
        <w:instrText xml:space="preserve"> ADDIN EN.CITE </w:instrText>
      </w:r>
      <w:r>
        <w:rPr>
          <w:rFonts w:hint="eastAsia" w:ascii="Times New Roman" w:hAnsi="Times New Roman"/>
        </w:rPr>
        <w:fldChar w:fldCharType="begin">
          <w:fldData xml:space="preserve">PEVuZE5vdGU+PENpdGU+PEF1dGhvcj5UYW88L0F1dGhvcj48WWVhcj4yMDIzPC9ZZWFyPjxSZWNO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</w:fldData>
        </w:fldChar>
      </w:r>
      <w:r>
        <w:rPr>
          <w:rFonts w:hint="eastAsia" w:ascii="Times New Roman" w:hAnsi="Times New Roman"/>
        </w:rPr>
        <w:instrText xml:space="preserve"> ADDIN EN.CITE.DATA </w:instrText>
      </w:r>
      <w:r>
        <w:rPr>
          <w:rFonts w:ascii="Times New Roman" w:hAnsi="Times New Roman"/>
        </w:rPr>
        <w:fldChar w:fldCharType="separate"/>
      </w:r>
      <w:r>
        <w:rPr>
          <w:rFonts w:hint="eastAsia" w:ascii="Times New Roman" w:hAnsi="Times New Roman"/>
        </w:rPr>
        <w:fldChar w:fldCharType="end"/>
      </w:r>
      <w:r>
        <w:rPr>
          <w:rFonts w:ascii="Times New Roman" w:hAnsi="Times New Roman"/>
        </w:rPr>
        <w:fldChar w:fldCharType="separate"/>
      </w:r>
      <w:r>
        <w:rPr>
          <w:rFonts w:hint="eastAsia" w:ascii="Times New Roman" w:hAnsi="Times New Roman"/>
        </w:rPr>
        <w:t>[1]</w:t>
      </w:r>
      <w:r>
        <w:rPr>
          <w:rFonts w:ascii="Times New Roman" w:hAnsi="Times New Roman"/>
        </w:rPr>
        <w:fldChar w:fldCharType="end"/>
      </w:r>
      <w:r>
        <w:rPr>
          <w:rFonts w:ascii="Times New Roman" w:hAnsi="Times New Roman"/>
        </w:rPr>
        <w:t xml:space="preserve">. </w:t>
      </w:r>
      <w:r>
        <w:rPr>
          <w:rFonts w:hint="eastAsia" w:ascii="Times New Roman" w:hAnsi="Times New Roman"/>
        </w:rPr>
        <w:t>If untreated, DDH can lead to severe motor dysfunction and joint degeneration, increasing the likelihood of hip replacement in adulthood</w:t>
      </w:r>
      <w:r>
        <w:rPr>
          <w:rFonts w:ascii="Times New Roman" w:hAnsi="Times New Roman"/>
        </w:rPr>
        <w:fldChar w:fldCharType="begin"/>
      </w:r>
      <w:r>
        <w:rPr>
          <w:rFonts w:hint="eastAsia" w:ascii="Times New Roman" w:hAnsi="Times New Roman"/>
        </w:rPr>
        <w:instrText xml:space="preserve"> ADDIN EN.CITE &lt;EndNote&gt;&lt;Cite&gt;&lt;Author&gt;Vaquero-Picado&lt;/Author&gt;&lt;Year&gt;2019&lt;/Year&gt;&lt;RecNum&gt;59&lt;/RecNum&gt;&lt;DisplayText&gt;[2]&lt;/DisplayText&gt;&lt;record&gt;&lt;rec-number&gt;59&lt;/rec-number&gt;&lt;foreign-keys&gt;&lt;key app="EN" db-id="dz50ewadwwsdfressrsxsvslawavtexz99sd" timestamp="1758167420"&gt;59&lt;/key&gt;&lt;/foreign-keys&gt;&lt;ref-type name="Journal Article"&gt;17&lt;/ref-type&gt;&lt;contributors&gt;&lt;authors&gt;&lt;author&gt;Vaquero-Picado, A.&lt;/author&gt;&lt;author&gt;Gonzalez-Moran, G.&lt;/author&gt;&lt;author&gt;Garay, E. G.&lt;/author&gt;&lt;author&gt;Moraleda, L.&lt;/author&gt;&lt;/authors&gt;&lt;/contributors&gt;&lt;auth-address&gt;Department of Orthopedic Surgery, Hospital Universitario La Paz, Madrid, Spain.&lt;/auth-address&gt;&lt;titles&gt;&lt;title&gt;Developmental dysplasia of the hip: update of management&lt;/title&gt;&lt;secondary-title&gt;EFORT Open Rev&lt;/secondary-title&gt;&lt;/titles&gt;&lt;periodical&gt;&lt;full-title&gt;EFORT Open Rev&lt;/full-title&gt;&lt;/periodical&gt;&lt;pages&gt;548-556&lt;/pages&gt;&lt;volume&gt;4&lt;/volume&gt;&lt;number&gt;9&lt;/number&gt;&lt;edition&gt;2019/10/11&lt;/edition&gt;&lt;keywords&gt;&lt;keyword&gt;Ddh&lt;/keyword&gt;&lt;keyword&gt;congenital dislocation of the hip&lt;/keyword&gt;&lt;keyword&gt;hip dysplasia&lt;/keyword&gt;&lt;keyword&gt;relevant to this work.&lt;/keyword&gt;&lt;/keywords&gt;&lt;dates&gt;&lt;year&gt;2019&lt;/year&gt;&lt;pub-dates&gt;&lt;date&gt;Sep&lt;/date&gt;&lt;/pub-dates&gt;&lt;/dates&gt;&lt;isbn&gt;2058-5241 (Print)&amp;#xD;2058-5241 (Electronic)&amp;#xD;2058-5241 (Linking)&lt;/isbn&gt;&lt;accession-num&gt;31598333&lt;/accession-num&gt;&lt;urls&gt;&lt;related-urls&gt;&lt;url&gt;https://www.ncbi.nlm.nih.gov/pubmed/31598333&lt;/url&gt;&lt;/related-urls&gt;&lt;/urls&gt;&lt;custom2&gt;PMC6771078&lt;/custom2&gt;&lt;electronic-resource-num&gt;10.1302/2058-5241.4.180019&lt;/electronic-resource-num&gt;&lt;/record&gt;&lt;/Cite&gt;&lt;/EndNote&gt;</w:instrText>
      </w:r>
      <w:r>
        <w:rPr>
          <w:rFonts w:ascii="Times New Roman" w:hAnsi="Times New Roman"/>
        </w:rPr>
        <w:fldChar w:fldCharType="separate"/>
      </w:r>
      <w:r>
        <w:rPr>
          <w:rFonts w:hint="eastAsia" w:ascii="Times New Roman" w:hAnsi="Times New Roman"/>
        </w:rPr>
        <w:t>[2]</w:t>
      </w:r>
      <w:r>
        <w:rPr>
          <w:rFonts w:ascii="Times New Roman" w:hAnsi="Times New Roman"/>
        </w:rPr>
        <w:fldChar w:fldCharType="end"/>
      </w:r>
      <w:r>
        <w:rPr>
          <w:rFonts w:ascii="Times New Roman" w:hAnsi="Times New Roman"/>
        </w:rPr>
        <w:t xml:space="preserve">. </w:t>
      </w:r>
      <w:r>
        <w:rPr>
          <w:rFonts w:hint="eastAsia" w:ascii="Times New Roman" w:hAnsi="Times New Roman"/>
        </w:rPr>
        <w:t>Early recognition and intervention are crucial for better prognosis. In the digital age, platforms like TikTok and Bilibili have become important sources of health information, offering accessible content for parents</w:t>
      </w:r>
      <w:r>
        <w:rPr>
          <w:rFonts w:ascii="Times New Roman" w:hAnsi="Times New Roman"/>
        </w:rPr>
        <w:fldChar w:fldCharType="begin"/>
      </w:r>
      <w:r>
        <w:rPr>
          <w:rFonts w:hint="eastAsia" w:ascii="Times New Roman" w:hAnsi="Times New Roman"/>
        </w:rPr>
        <w:instrText xml:space="preserve"> ADDIN EN.CITE &lt;EndNote&gt;&lt;Cite&gt;&lt;Author&gt;Zhang&lt;/Author&gt;&lt;Year&gt;2024&lt;/Year&gt;&lt;RecNum&gt;49&lt;/RecNum&gt;&lt;DisplayText&gt;[3]&lt;/DisplayText&gt;&lt;record&gt;&lt;rec-number&gt;49&lt;/rec-number&gt;&lt;foreign-keys&gt;&lt;key app="EN" db-id="dz50ewadwwsdfressrsxsvslawavtexz99sd" timestamp="1758167420"&gt;49&lt;/key&gt;&lt;/foreign-keys&gt;&lt;ref-type name="Journal Article"&gt;17&lt;/ref-type&gt;&lt;contributors&gt;&lt;authors&gt;&lt;author&gt;Zhang, J.&lt;/author&gt;&lt;author&gt;Yuan, J.&lt;/author&gt;&lt;author&gt;Zhang, D.&lt;/author&gt;&lt;author&gt;Yang, Y.&lt;/author&gt;&lt;author&gt;Wang, C.&lt;/author&gt;&lt;author&gt;Dou, Z.&lt;/author&gt;&lt;author&gt;Li, Y.&lt;/author&gt;&lt;/authors&gt;&lt;/contributors&gt;&lt;auth-address&gt;Center for Reproductive Medicine, Taihe Hospital, Hubei University of Medicine, Shiyan, Hubei, China.&amp;#xD;Department of Ophthalmology, Taihe Hospital, Hubei University of Medicine, Shiyan, Hubei, China.&amp;#xD;Department of Gastroenterology, Taihe Hospital, Hubei University of Medicine, Shiyan, Hubei, China.&amp;#xD;Department of Gynaecology and Obstetrics, Taihe Hospital, Hubei University of Medicine, Shiyan, Hubei, China.&lt;/auth-address&gt;&lt;titles&gt;&lt;title&gt;Short video platforms as sources of health information about cervical cancer: A content and quality analysis&lt;/title&gt;&lt;secondary-title&gt;PLoS One&lt;/secondary-title&gt;&lt;/titles&gt;&lt;periodical&gt;&lt;full-title&gt;PLoS One&lt;/full-title&gt;&lt;/periodical&gt;&lt;pages&gt;e0300180&lt;/pages&gt;&lt;volume&gt;19&lt;/volume&gt;&lt;number&gt;3&lt;/number&gt;&lt;edition&gt;2024/03/08&lt;/edition&gt;&lt;keywords&gt;&lt;keyword&gt;Humans&lt;/keyword&gt;&lt;keyword&gt;Female&lt;/keyword&gt;&lt;keyword&gt;*Uterine Cervical Neoplasms&lt;/keyword&gt;&lt;keyword&gt;Reproducibility of Results&lt;/keyword&gt;&lt;keyword&gt;Asian People&lt;/keyword&gt;&lt;keyword&gt;*Communications Media&lt;/keyword&gt;&lt;keyword&gt;Emotions&lt;/keyword&gt;&lt;keyword&gt;*Social Media&lt;/keyword&gt;&lt;keyword&gt;Video Recording&lt;/keyword&gt;&lt;/keywords&gt;&lt;dates&gt;&lt;year&gt;2024&lt;/year&gt;&lt;/dates&gt;&lt;isbn&gt;1932-6203 (Electronic)&amp;#xD;1932-6203 (Linking)&lt;/isbn&gt;&lt;accession-num&gt;38457419&lt;/accession-num&gt;&lt;urls&gt;&lt;related-urls&gt;&lt;url&gt;https://www.ncbi.nlm.nih.gov/pubmed/38457419&lt;/url&gt;&lt;/related-urls&gt;&lt;/urls&gt;&lt;custom2&gt;PMC10923403&lt;/custom2&gt;&lt;electronic-resource-num&gt;10.1371/journal.pone.0300180&lt;/electronic-resource-num&gt;&lt;/record&gt;&lt;/Cite&gt;&lt;/EndNote&gt;</w:instrText>
      </w:r>
      <w:r>
        <w:rPr>
          <w:rFonts w:ascii="Times New Roman" w:hAnsi="Times New Roman"/>
        </w:rPr>
        <w:fldChar w:fldCharType="separate"/>
      </w:r>
      <w:r>
        <w:rPr>
          <w:rFonts w:hint="eastAsia" w:ascii="Times New Roman" w:hAnsi="Times New Roman"/>
        </w:rPr>
        <w:t>[3]</w:t>
      </w:r>
      <w:r>
        <w:rPr>
          <w:rFonts w:ascii="Times New Roman" w:hAnsi="Times New Roman"/>
        </w:rPr>
        <w:fldChar w:fldCharType="end"/>
      </w:r>
      <w:r>
        <w:rPr>
          <w:rFonts w:ascii="Times New Roman" w:hAnsi="Times New Roman"/>
        </w:rPr>
        <w:t xml:space="preserve">. </w:t>
      </w:r>
      <w:r>
        <w:rPr>
          <w:rFonts w:hint="eastAsia" w:ascii="Times New Roman" w:hAnsi="Times New Roman"/>
        </w:rPr>
        <w:t>However, the quality of this information is often inconsistent and may be misleading, delaying timely diagnosis and treatment</w:t>
      </w:r>
      <w:r>
        <w:rPr>
          <w:rFonts w:ascii="Times New Roman" w:hAnsi="Times New Roman"/>
        </w:rPr>
        <w:fldChar w:fldCharType="begin">
          <w:fldData xml:space="preserve">PEVuZE5vdGU+PENpdGU+PEF1dGhvcj5MaTwvQXV0aG9yPjxZZWFyPjIwMjQ8L1llYXI+PFJlY051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</w:fldData>
        </w:fldChar>
      </w:r>
      <w:r>
        <w:rPr>
          <w:rFonts w:hint="eastAsia" w:ascii="Times New Roman" w:hAnsi="Times New Roman"/>
        </w:rPr>
        <w:instrText xml:space="preserve"> ADDIN EN.CITE </w:instrText>
      </w:r>
      <w:r>
        <w:rPr>
          <w:rFonts w:hint="eastAsia" w:ascii="Times New Roman" w:hAnsi="Times New Roman"/>
        </w:rPr>
        <w:fldChar w:fldCharType="begin">
          <w:fldData xml:space="preserve">PEVuZE5vdGU+PENpdGU+PEF1dGhvcj5MaTwvQXV0aG9yPjxZZWFyPjIwMjQ8L1llYXI+PFJlY051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</w:fldData>
        </w:fldChar>
      </w:r>
      <w:r>
        <w:rPr>
          <w:rFonts w:hint="eastAsia" w:ascii="Times New Roman" w:hAnsi="Times New Roman"/>
        </w:rPr>
        <w:instrText xml:space="preserve"> ADDIN EN.CITE.DATA </w:instrText>
      </w:r>
      <w:r>
        <w:rPr>
          <w:rFonts w:ascii="Times New Roman" w:hAnsi="Times New Roman"/>
        </w:rPr>
        <w:fldChar w:fldCharType="separate"/>
      </w:r>
      <w:r>
        <w:rPr>
          <w:rFonts w:hint="eastAsia" w:ascii="Times New Roman" w:hAnsi="Times New Roman"/>
        </w:rPr>
        <w:fldChar w:fldCharType="end"/>
      </w:r>
      <w:r>
        <w:rPr>
          <w:rFonts w:ascii="Times New Roman" w:hAnsi="Times New Roman"/>
        </w:rPr>
        <w:fldChar w:fldCharType="separate"/>
      </w:r>
      <w:r>
        <w:rPr>
          <w:rFonts w:hint="eastAsia" w:ascii="Times New Roman" w:hAnsi="Times New Roman"/>
        </w:rPr>
        <w:t>[4, 5]</w:t>
      </w:r>
      <w:r>
        <w:rPr>
          <w:rFonts w:ascii="Times New Roman" w:hAnsi="Times New Roman"/>
        </w:rPr>
        <w:fldChar w:fldCharType="end"/>
      </w:r>
      <w:r>
        <w:rPr>
          <w:rFonts w:ascii="Times New Roman" w:hAnsi="Times New Roman"/>
        </w:rPr>
        <w:t>.</w:t>
      </w:r>
      <w:r>
        <w:rPr>
          <w:rFonts w:hint="eastAsia" w:ascii="Times New Roman" w:hAnsi="Times New Roman"/>
          <w:lang w:val="en-US" w:eastAsia="zh-CN"/>
        </w:rPr>
        <w:t xml:space="preserve"> This study evaluates the quality of DDH-related videos on these platforms to enhance public health education and content regulation.</w:t>
      </w:r>
    </w:p>
    <w:p w14:paraId="260D36BD">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Materials and Methods</w:t>
      </w:r>
    </w:p>
    <w:p w14:paraId="63F9BA3D">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Search Strategy and Data Extraction</w:t>
      </w:r>
    </w:p>
    <w:p w14:paraId="5B454919">
      <w:pPr>
        <w:spacing w:line="360" w:lineRule="auto"/>
        <w:rPr>
          <w:rFonts w:ascii="Times New Roman" w:hAnsi="Times New Roman" w:eastAsia="宋体" w:cs="Times New Roman"/>
          <w:sz w:val="24"/>
        </w:rPr>
      </w:pPr>
      <w:r>
        <w:rPr>
          <w:rFonts w:hint="eastAsia" w:ascii="Times New Roman" w:hAnsi="Times New Roman" w:eastAsia="宋体" w:cs="Times New Roman"/>
          <w:sz w:val="24"/>
        </w:rPr>
        <w:t>We used Chinese search terms "developmental dysplasia of the hip," "pediatrics," and "hip dislocation" on Bilibili and TikTok. To minimize bias, searches were performed using incognito mode and new accounts. The top 100 default-sorted videos from each platform were collected. Inclusion required relevance to DDH etiology, diagnosis, treatment, or prevention, with exclusions for advertisements, irrelevant content, and recent uploads. Key variables extracted included platform, upload date, author type, video type, interaction metrics (likes, comments, shares, views), and video duration. Author expertise was categorized into four levels, and videos were classified as basic knowledge, case reports, or treatment processes.</w:t>
      </w:r>
    </w:p>
    <w:p w14:paraId="0C12341A">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Video Quality Assessment</w:t>
      </w:r>
    </w:p>
    <w:p w14:paraId="768E12C8">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Video quality was assessed using the modified DISCERN tool and the Global Quality Score (GQS).</w:t>
      </w:r>
      <w:r>
        <w:rPr>
          <w:rFonts w:ascii="Times New Roman" w:hAnsi="Times New Roman" w:eastAsia="宋体" w:cs="Times New Roman"/>
          <w:sz w:val="24"/>
        </w:rPr>
        <w:fldChar w:fldCharType="begin">
          <w:fldData xml:space="preserve">PEVuZE5vdGU+PENpdGU+PEF1dGhvcj5MaXU8L0F1dGhvcj48WWVhcj4yMDI0PC9ZZWFyPjxSZWNO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</w:fldData>
        </w:fldChar>
      </w:r>
      <w:r>
        <w:rPr>
          <w:rFonts w:hint="eastAsia" w:ascii="Times New Roman" w:hAnsi="Times New Roman" w:eastAsia="宋体" w:cs="Times New Roman"/>
          <w:sz w:val="24"/>
        </w:rPr>
        <w:instrText xml:space="preserve"> ADDIN EN.CITE </w:instrText>
      </w:r>
      <w:r>
        <w:rPr>
          <w:rFonts w:hint="eastAsia" w:ascii="Times New Roman" w:hAnsi="Times New Roman" w:eastAsia="宋体" w:cs="Times New Roman"/>
          <w:sz w:val="24"/>
        </w:rPr>
        <w:fldChar w:fldCharType="begin">
          <w:fldData xml:space="preserve">PEVuZE5vdGU+PENpdGU+PEF1dGhvcj5MaXU8L0F1dGhvcj48WWVhcj4yMDI0PC9ZZWFyPjxSZWNO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</w:fldData>
        </w:fldChar>
      </w:r>
      <w:r>
        <w:rPr>
          <w:rFonts w:hint="eastAsia" w:ascii="Times New Roman" w:hAnsi="Times New Roman" w:eastAsia="宋体" w:cs="Times New Roman"/>
          <w:sz w:val="24"/>
        </w:rPr>
        <w:instrText xml:space="preserve"> ADDIN EN.CITE.DATA </w:instrText>
      </w:r>
      <w:r>
        <w:rPr>
          <w:rFonts w:ascii="Times New Roman" w:hAnsi="Times New Roman" w:eastAsia="宋体" w:cs="Times New Roman"/>
          <w:sz w:val="24"/>
        </w:rPr>
        <w:fldChar w:fldCharType="separate"/>
      </w:r>
      <w:r>
        <w:rPr>
          <w:rFonts w:hint="eastAsia" w:ascii="Times New Roman" w:hAnsi="Times New Roman" w:eastAsia="宋体" w:cs="Times New Roman"/>
          <w:sz w:val="24"/>
        </w:rPr>
        <w:fldChar w:fldCharType="end"/>
      </w:r>
      <w:r>
        <w:rPr>
          <w:rFonts w:ascii="Times New Roman" w:hAnsi="Times New Roman" w:eastAsia="宋体" w:cs="Times New Roman"/>
          <w:sz w:val="24"/>
        </w:rPr>
        <w:fldChar w:fldCharType="separate"/>
      </w:r>
      <w:r>
        <w:rPr>
          <w:rFonts w:hint="eastAsia" w:ascii="Times New Roman" w:hAnsi="Times New Roman" w:eastAsia="宋体" w:cs="Times New Roman"/>
          <w:sz w:val="24"/>
        </w:rPr>
        <w:t>[6]</w:t>
      </w:r>
      <w:r>
        <w:rPr>
          <w:rFonts w:ascii="Times New Roman" w:hAnsi="Times New Roman" w:eastAsia="宋体" w:cs="Times New Roman"/>
          <w:sz w:val="24"/>
        </w:rPr>
        <w:fldChar w:fldCharType="end"/>
      </w:r>
      <w:r>
        <w:rPr>
          <w:rFonts w:ascii="Times New Roman" w:hAnsi="Times New Roman" w:eastAsia="宋体" w:cs="Times New Roman"/>
          <w:sz w:val="24"/>
        </w:rPr>
        <w:t xml:space="preserve">. </w:t>
      </w:r>
      <w:r>
        <w:rPr>
          <w:rFonts w:hint="eastAsia" w:ascii="Times New Roman" w:hAnsi="Times New Roman" w:eastAsia="宋体" w:cs="Times New Roman"/>
          <w:sz w:val="24"/>
        </w:rPr>
        <w:t>The mDISCERN tool evaluated five criteria (clarity, relevance, rigor, traceability, impartiality) on a 0-5 scale. GQS assessed overall quality using a 5-point scale. Videos with mDISCERN scores below 3 or GQS below 3 were deemed low quality. Independent raters reviewed the videos, with discrepancies resolved by a third arbitrator. All assessors underwent standardized training.</w:t>
      </w:r>
    </w:p>
    <w:p w14:paraId="43A8ED3A">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Statistical Analysis</w:t>
      </w:r>
    </w:p>
    <w:p w14:paraId="4E0EC4C7">
      <w:pPr>
        <w:spacing w:line="360" w:lineRule="auto"/>
        <w:rPr>
          <w:rFonts w:ascii="Times New Roman" w:hAnsi="Times New Roman" w:eastAsia="宋体" w:cs="Times New Roman"/>
          <w:sz w:val="24"/>
        </w:rPr>
      </w:pPr>
      <w:r>
        <w:rPr>
          <w:rFonts w:hint="eastAsia" w:ascii="Times New Roman" w:hAnsi="Times New Roman" w:eastAsia="宋体" w:cs="Times New Roman"/>
          <w:sz w:val="24"/>
        </w:rPr>
        <w:t>Descriptive statistics and non-parametric tests were used for analysis. Differences in platform distribution and quality scores were assessed using chi-square and Mann-Whitney U tests. Inter-rater agreement for mDISCERN and GQS scores was quantified using Cohen's kappa coefficient. All analyses were performed using IBM SPSS Statistics 27.0.</w:t>
      </w:r>
    </w:p>
    <w:p w14:paraId="02EE88A7">
      <w:pPr>
        <w:spacing w:line="360" w:lineRule="auto"/>
        <w:rPr>
          <w:rFonts w:ascii="Times New Roman" w:hAnsi="Times New Roman" w:eastAsia="宋体" w:cs="Times New Roman"/>
          <w:sz w:val="24"/>
        </w:rPr>
      </w:pPr>
    </w:p>
    <w:p w14:paraId="7D81E202">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Results</w:t>
      </w:r>
    </w:p>
    <w:p w14:paraId="5A2FB23C">
      <w:pPr>
        <w:spacing w:line="360" w:lineRule="auto"/>
        <w:rPr>
          <w:rFonts w:ascii="Times New Roman" w:hAnsi="Times New Roman" w:cs="Times New Roman"/>
          <w:b/>
          <w:bCs/>
          <w:sz w:val="24"/>
        </w:rPr>
      </w:pPr>
      <w:r>
        <w:rPr>
          <w:rFonts w:ascii="Times New Roman" w:hAnsi="Times New Roman" w:cs="Times New Roman"/>
          <w:b/>
          <w:bCs/>
          <w:sz w:val="24"/>
        </w:rPr>
        <w:t>Video Characteristics</w:t>
      </w:r>
    </w:p>
    <w:p w14:paraId="2BF05558">
      <w:pPr>
        <w:spacing w:line="360" w:lineRule="auto"/>
        <w:rPr>
          <w:rFonts w:ascii="Times New Roman" w:hAnsi="Times New Roman" w:cs="Times New Roman"/>
          <w:sz w:val="24"/>
        </w:rPr>
      </w:pPr>
      <w:r>
        <w:rPr>
          <w:rFonts w:ascii="Times New Roman" w:hAnsi="Times New Roman" w:cs="Times New Roman"/>
          <w:sz w:val="24"/>
        </w:rPr>
        <w:t>A total of 125 short videos on DDH from TikTok (82 videos) and Bilibili (43 videos) were analyzed (Figure 1), revealing significant inter-platform differences across various characteristics (Table 1). TikTok videos were predominantly created by individual medical professionals (87.8%) and focused on "Case reports and related discussions" (51.2%), while Bilibili featured a more diverse authorship, with 44.2% from individual medical professionals and 27.9% from non-medical institutions, predominantly covering "Basic knowledge of the disease" (62.8%).</w:t>
      </w:r>
    </w:p>
    <w:p w14:paraId="0C814E78">
      <w:pPr>
        <w:spacing w:line="360" w:lineRule="auto"/>
        <w:rPr>
          <w:rFonts w:ascii="Times New Roman" w:hAnsi="Times New Roman" w:cs="Times New Roman"/>
          <w:sz w:val="24"/>
        </w:rPr>
      </w:pPr>
    </w:p>
    <w:p w14:paraId="3384FCF7">
      <w:pPr>
        <w:spacing w:line="360" w:lineRule="auto"/>
        <w:rPr>
          <w:rFonts w:ascii="Times New Roman" w:hAnsi="Times New Roman" w:cs="Times New Roman"/>
          <w:sz w:val="24"/>
        </w:rPr>
      </w:pPr>
      <w:r>
        <w:rPr>
          <w:rFonts w:hint="eastAsia" w:ascii="Times New Roman" w:hAnsi="Times New Roman" w:cs="Times New Roman"/>
          <w:sz w:val="24"/>
        </w:rPr>
        <w:t>Figure 1. Search strategy for videos on DDH.</w:t>
      </w:r>
    </w:p>
    <w:p w14:paraId="14A8CD75">
      <w:pPr>
        <w:spacing w:line="360" w:lineRule="auto"/>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drawing>
          <wp:inline distT="0" distB="0" distL="114300" distR="114300">
            <wp:extent cx="5262245" cy="5130165"/>
            <wp:effectExtent l="0" t="0" r="5080" b="3810"/>
            <wp:docPr id="1" name="图片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 1"/>
                    <pic:cNvPicPr>
                      <a:picLocks noChangeAspect="1"/>
                    </pic:cNvPicPr>
                  </pic:nvPicPr>
                  <pic:blipFill>
                    <a:blip r:embed="rId4"/>
                    <a:stretch>
                      <a:fillRect/>
                    </a:stretch>
                  </pic:blipFill>
                  <pic:spPr>
                    <a:xfrm>
                      <a:off x="0" y="0"/>
                      <a:ext cx="5262245" cy="5130165"/>
                    </a:xfrm>
                    <a:prstGeom prst="rect">
                      <a:avLst/>
                    </a:prstGeom>
                  </pic:spPr>
                </pic:pic>
              </a:graphicData>
            </a:graphic>
          </wp:inline>
        </w:drawing>
      </w:r>
    </w:p>
    <w:p w14:paraId="4B12FD94">
      <w:pPr>
        <w:spacing w:line="360" w:lineRule="auto"/>
        <w:rPr>
          <w:rFonts w:ascii="Times New Roman" w:hAnsi="Times New Roman" w:eastAsia="宋体" w:cs="Times New Roman"/>
          <w:sz w:val="24"/>
        </w:rPr>
      </w:pPr>
      <w:r>
        <w:rPr>
          <w:rFonts w:hint="eastAsia" w:ascii="Times New Roman" w:hAnsi="Times New Roman" w:eastAsia="宋体" w:cs="Times New Roman"/>
          <w:sz w:val="24"/>
        </w:rPr>
        <w:t>Table 1. Characteristics of videos about DDH on TikTok/Bilibili.</w:t>
      </w:r>
    </w:p>
    <w:tbl>
      <w:tblPr>
        <w:tblStyle w:val="7"/>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63"/>
        <w:gridCol w:w="1517"/>
        <w:gridCol w:w="1517"/>
        <w:gridCol w:w="1519"/>
      </w:tblGrid>
      <w:tr w14:paraId="0CAC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Borders>
              <w:top w:val="single" w:color="auto" w:sz="4" w:space="0"/>
              <w:bottom w:val="single" w:color="auto" w:sz="4" w:space="0"/>
            </w:tcBorders>
          </w:tcPr>
          <w:p w14:paraId="3D83E20B">
            <w:pPr>
              <w:jc w:val="center"/>
              <w:rPr>
                <w:rFonts w:hint="default" w:ascii="Times New Roman" w:hAnsi="Times New Roman" w:cs="Times New Roman"/>
                <w:b/>
                <w:bCs/>
                <w:sz w:val="20"/>
                <w:szCs w:val="20"/>
                <w:vertAlign w:val="baseline"/>
              </w:rPr>
            </w:pPr>
            <w:r>
              <w:rPr>
                <w:rFonts w:hint="default" w:ascii="Times New Roman" w:hAnsi="Times New Roman" w:cs="Times New Roman"/>
                <w:b/>
                <w:bCs/>
                <w:sz w:val="20"/>
                <w:szCs w:val="20"/>
                <w:vertAlign w:val="baseline"/>
              </w:rPr>
              <w:t>Characteristic</w:t>
            </w:r>
          </w:p>
        </w:tc>
        <w:tc>
          <w:tcPr>
            <w:tcW w:w="1517" w:type="dxa"/>
            <w:tcBorders>
              <w:top w:val="single" w:color="auto" w:sz="4" w:space="0"/>
              <w:bottom w:val="single" w:color="auto" w:sz="4" w:space="0"/>
            </w:tcBorders>
          </w:tcPr>
          <w:p w14:paraId="519AAFF2">
            <w:pPr>
              <w:jc w:val="center"/>
              <w:rPr>
                <w:rFonts w:hint="default" w:ascii="Times New Roman" w:hAnsi="Times New Roman" w:cs="Times New Roman" w:eastAsiaTheme="minorEastAsia"/>
                <w:b/>
                <w:bCs/>
                <w:sz w:val="20"/>
                <w:szCs w:val="20"/>
                <w:vertAlign w:val="baseline"/>
                <w:lang w:val="en-US" w:eastAsia="zh-CN"/>
              </w:rPr>
            </w:pPr>
            <w:r>
              <w:rPr>
                <w:rFonts w:hint="default" w:ascii="Times New Roman" w:hAnsi="Times New Roman" w:cs="Times New Roman"/>
                <w:b/>
                <w:bCs/>
                <w:sz w:val="20"/>
                <w:szCs w:val="20"/>
                <w:vertAlign w:val="baseline"/>
                <w:lang w:val="en-US" w:eastAsia="zh-CN"/>
              </w:rPr>
              <w:t>TikTok (n=82)</w:t>
            </w:r>
          </w:p>
        </w:tc>
        <w:tc>
          <w:tcPr>
            <w:tcW w:w="1517" w:type="dxa"/>
            <w:tcBorders>
              <w:top w:val="single" w:color="auto" w:sz="4" w:space="0"/>
              <w:bottom w:val="single" w:color="auto" w:sz="4" w:space="0"/>
            </w:tcBorders>
          </w:tcPr>
          <w:p w14:paraId="4C193335">
            <w:pPr>
              <w:jc w:val="center"/>
              <w:rPr>
                <w:rFonts w:hint="default" w:ascii="Times New Roman" w:hAnsi="Times New Roman" w:cs="Times New Roman" w:eastAsiaTheme="minorEastAsia"/>
                <w:b/>
                <w:bCs/>
                <w:sz w:val="20"/>
                <w:szCs w:val="20"/>
                <w:vertAlign w:val="baseline"/>
                <w:lang w:val="en-US" w:eastAsia="zh-CN"/>
              </w:rPr>
            </w:pPr>
            <w:r>
              <w:rPr>
                <w:rFonts w:hint="default" w:ascii="Times New Roman" w:hAnsi="Times New Roman" w:cs="Times New Roman"/>
                <w:b/>
                <w:bCs/>
                <w:sz w:val="20"/>
                <w:szCs w:val="20"/>
                <w:vertAlign w:val="baseline"/>
                <w:lang w:val="en-US" w:eastAsia="zh-CN"/>
              </w:rPr>
              <w:t>Bilibili (n=43)</w:t>
            </w:r>
          </w:p>
        </w:tc>
        <w:tc>
          <w:tcPr>
            <w:tcW w:w="1519" w:type="dxa"/>
            <w:tcBorders>
              <w:top w:val="single" w:color="auto" w:sz="4" w:space="0"/>
              <w:bottom w:val="single" w:color="auto" w:sz="4" w:space="0"/>
            </w:tcBorders>
          </w:tcPr>
          <w:p w14:paraId="2AEFF722">
            <w:pPr>
              <w:jc w:val="center"/>
              <w:rPr>
                <w:rFonts w:hint="default" w:ascii="Times New Roman" w:hAnsi="Times New Roman" w:cs="Times New Roman" w:eastAsiaTheme="minorEastAsia"/>
                <w:b/>
                <w:bCs/>
                <w:sz w:val="20"/>
                <w:szCs w:val="20"/>
                <w:vertAlign w:val="baseline"/>
                <w:lang w:val="en-US" w:eastAsia="zh-CN"/>
              </w:rPr>
            </w:pPr>
            <w:r>
              <w:rPr>
                <w:rFonts w:hint="default" w:ascii="Times New Roman" w:hAnsi="Times New Roman" w:cs="Times New Roman"/>
                <w:b/>
                <w:bCs/>
                <w:i/>
                <w:iCs/>
                <w:sz w:val="20"/>
                <w:szCs w:val="20"/>
                <w:vertAlign w:val="baseline"/>
                <w:lang w:val="en-US" w:eastAsia="zh-CN"/>
              </w:rPr>
              <w:t>P</w:t>
            </w:r>
            <w:r>
              <w:rPr>
                <w:rFonts w:hint="default" w:ascii="Times New Roman" w:hAnsi="Times New Roman" w:cs="Times New Roman"/>
                <w:b/>
                <w:bCs/>
                <w:sz w:val="20"/>
                <w:szCs w:val="20"/>
                <w:vertAlign w:val="baseline"/>
                <w:lang w:val="en-US" w:eastAsia="zh-CN"/>
              </w:rPr>
              <w:t>-value</w:t>
            </w:r>
          </w:p>
        </w:tc>
      </w:tr>
      <w:tr w14:paraId="3887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Borders>
              <w:top w:val="single" w:color="auto" w:sz="4" w:space="0"/>
            </w:tcBorders>
          </w:tcPr>
          <w:p w14:paraId="56F7FFE7">
            <w:pP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rPr>
              <w:t>Upload year</w:t>
            </w:r>
            <w:r>
              <w:rPr>
                <w:rFonts w:hint="default" w:ascii="Times New Roman" w:hAnsi="Times New Roman" w:cs="Times New Roman"/>
                <w:sz w:val="20"/>
                <w:szCs w:val="20"/>
                <w:vertAlign w:val="baseline"/>
                <w:lang w:val="en-US" w:eastAsia="zh-CN"/>
              </w:rPr>
              <w:t xml:space="preserve"> [n (%)]</w:t>
            </w:r>
          </w:p>
        </w:tc>
        <w:tc>
          <w:tcPr>
            <w:tcW w:w="1517" w:type="dxa"/>
            <w:tcBorders>
              <w:top w:val="single" w:color="auto" w:sz="4" w:space="0"/>
            </w:tcBorders>
          </w:tcPr>
          <w:p w14:paraId="13F2B4E7">
            <w:pPr>
              <w:jc w:val="center"/>
              <w:rPr>
                <w:rFonts w:hint="default" w:ascii="Times New Roman" w:hAnsi="Times New Roman" w:cs="Times New Roman"/>
                <w:sz w:val="20"/>
                <w:szCs w:val="20"/>
                <w:vertAlign w:val="baseline"/>
              </w:rPr>
            </w:pPr>
          </w:p>
        </w:tc>
        <w:tc>
          <w:tcPr>
            <w:tcW w:w="1517" w:type="dxa"/>
            <w:tcBorders>
              <w:top w:val="single" w:color="auto" w:sz="4" w:space="0"/>
            </w:tcBorders>
          </w:tcPr>
          <w:p w14:paraId="7FD9B9A2">
            <w:pPr>
              <w:jc w:val="center"/>
              <w:rPr>
                <w:rFonts w:hint="default" w:ascii="Times New Roman" w:hAnsi="Times New Roman" w:cs="Times New Roman"/>
                <w:sz w:val="20"/>
                <w:szCs w:val="20"/>
                <w:vertAlign w:val="baseline"/>
              </w:rPr>
            </w:pPr>
          </w:p>
        </w:tc>
        <w:tc>
          <w:tcPr>
            <w:tcW w:w="1519" w:type="dxa"/>
            <w:tcBorders>
              <w:top w:val="single" w:color="auto" w:sz="4" w:space="0"/>
            </w:tcBorders>
          </w:tcPr>
          <w:p w14:paraId="2D9EA8A6">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r w14:paraId="3F67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78F0E2CE">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2020 and before</w:t>
            </w:r>
          </w:p>
        </w:tc>
        <w:tc>
          <w:tcPr>
            <w:tcW w:w="1517" w:type="dxa"/>
          </w:tcPr>
          <w:p w14:paraId="21F0CF82">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0 (0.0%)</w:t>
            </w:r>
          </w:p>
        </w:tc>
        <w:tc>
          <w:tcPr>
            <w:tcW w:w="1517" w:type="dxa"/>
          </w:tcPr>
          <w:p w14:paraId="65DB663A">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8 (18.6%)</w:t>
            </w:r>
          </w:p>
        </w:tc>
        <w:tc>
          <w:tcPr>
            <w:tcW w:w="1519" w:type="dxa"/>
          </w:tcPr>
          <w:p w14:paraId="27344C0A">
            <w:pPr>
              <w:jc w:val="center"/>
              <w:rPr>
                <w:rFonts w:hint="default" w:ascii="Times New Roman" w:hAnsi="Times New Roman" w:cs="Times New Roman"/>
                <w:sz w:val="20"/>
                <w:szCs w:val="20"/>
                <w:vertAlign w:val="baseline"/>
              </w:rPr>
            </w:pPr>
          </w:p>
        </w:tc>
      </w:tr>
      <w:tr w14:paraId="5A8F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09ADD49A">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2021</w:t>
            </w:r>
          </w:p>
        </w:tc>
        <w:tc>
          <w:tcPr>
            <w:tcW w:w="1517" w:type="dxa"/>
          </w:tcPr>
          <w:p w14:paraId="79E2D4DD">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3 (3.7%)</w:t>
            </w:r>
          </w:p>
        </w:tc>
        <w:tc>
          <w:tcPr>
            <w:tcW w:w="1517" w:type="dxa"/>
          </w:tcPr>
          <w:p w14:paraId="11937C0E">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10 (23.3%)</w:t>
            </w:r>
          </w:p>
        </w:tc>
        <w:tc>
          <w:tcPr>
            <w:tcW w:w="1519" w:type="dxa"/>
          </w:tcPr>
          <w:p w14:paraId="2A5488A4">
            <w:pPr>
              <w:jc w:val="center"/>
              <w:rPr>
                <w:rFonts w:hint="default" w:ascii="Times New Roman" w:hAnsi="Times New Roman" w:cs="Times New Roman"/>
                <w:sz w:val="20"/>
                <w:szCs w:val="20"/>
                <w:vertAlign w:val="baseline"/>
              </w:rPr>
            </w:pPr>
          </w:p>
        </w:tc>
      </w:tr>
      <w:tr w14:paraId="7F97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7AA0445E">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2022</w:t>
            </w:r>
          </w:p>
        </w:tc>
        <w:tc>
          <w:tcPr>
            <w:tcW w:w="1517" w:type="dxa"/>
          </w:tcPr>
          <w:p w14:paraId="6DD0371D">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14 (17.1%)</w:t>
            </w:r>
          </w:p>
        </w:tc>
        <w:tc>
          <w:tcPr>
            <w:tcW w:w="1517" w:type="dxa"/>
          </w:tcPr>
          <w:p w14:paraId="505D5FE4">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6 (14.0%)</w:t>
            </w:r>
          </w:p>
        </w:tc>
        <w:tc>
          <w:tcPr>
            <w:tcW w:w="1519" w:type="dxa"/>
          </w:tcPr>
          <w:p w14:paraId="3EB15EE0">
            <w:pPr>
              <w:jc w:val="center"/>
              <w:rPr>
                <w:rFonts w:hint="default" w:ascii="Times New Roman" w:hAnsi="Times New Roman" w:cs="Times New Roman"/>
                <w:sz w:val="20"/>
                <w:szCs w:val="20"/>
                <w:vertAlign w:val="baseline"/>
              </w:rPr>
            </w:pPr>
          </w:p>
        </w:tc>
      </w:tr>
      <w:tr w14:paraId="16F1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180C6C5C">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2023</w:t>
            </w:r>
          </w:p>
        </w:tc>
        <w:tc>
          <w:tcPr>
            <w:tcW w:w="1517" w:type="dxa"/>
          </w:tcPr>
          <w:p w14:paraId="6C2C143F">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23 (28.0%)</w:t>
            </w:r>
          </w:p>
        </w:tc>
        <w:tc>
          <w:tcPr>
            <w:tcW w:w="1517" w:type="dxa"/>
          </w:tcPr>
          <w:p w14:paraId="17FD9119">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10 (23.3%)</w:t>
            </w:r>
          </w:p>
        </w:tc>
        <w:tc>
          <w:tcPr>
            <w:tcW w:w="1519" w:type="dxa"/>
          </w:tcPr>
          <w:p w14:paraId="12ACD3D8">
            <w:pPr>
              <w:jc w:val="center"/>
              <w:rPr>
                <w:rFonts w:hint="default" w:ascii="Times New Roman" w:hAnsi="Times New Roman" w:cs="Times New Roman"/>
                <w:sz w:val="20"/>
                <w:szCs w:val="20"/>
                <w:vertAlign w:val="baseline"/>
              </w:rPr>
            </w:pPr>
          </w:p>
        </w:tc>
      </w:tr>
      <w:tr w14:paraId="01DD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7F73B87C">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2024</w:t>
            </w:r>
          </w:p>
        </w:tc>
        <w:tc>
          <w:tcPr>
            <w:tcW w:w="1517" w:type="dxa"/>
          </w:tcPr>
          <w:p w14:paraId="66D314B0">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18 (22.0%)</w:t>
            </w:r>
          </w:p>
        </w:tc>
        <w:tc>
          <w:tcPr>
            <w:tcW w:w="1517" w:type="dxa"/>
          </w:tcPr>
          <w:p w14:paraId="290D3856">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2 (4.7%)</w:t>
            </w:r>
          </w:p>
        </w:tc>
        <w:tc>
          <w:tcPr>
            <w:tcW w:w="1519" w:type="dxa"/>
          </w:tcPr>
          <w:p w14:paraId="3FC590B7">
            <w:pPr>
              <w:jc w:val="center"/>
              <w:rPr>
                <w:rFonts w:hint="default" w:ascii="Times New Roman" w:hAnsi="Times New Roman" w:cs="Times New Roman"/>
                <w:sz w:val="20"/>
                <w:szCs w:val="20"/>
                <w:vertAlign w:val="baseline"/>
              </w:rPr>
            </w:pPr>
          </w:p>
        </w:tc>
      </w:tr>
      <w:tr w14:paraId="476A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302371E1">
            <w:pPr>
              <w:jc w:val="center"/>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2025</w:t>
            </w:r>
          </w:p>
        </w:tc>
        <w:tc>
          <w:tcPr>
            <w:tcW w:w="1517" w:type="dxa"/>
          </w:tcPr>
          <w:p w14:paraId="443BD469">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24 (29.3%)</w:t>
            </w:r>
          </w:p>
        </w:tc>
        <w:tc>
          <w:tcPr>
            <w:tcW w:w="1517" w:type="dxa"/>
          </w:tcPr>
          <w:p w14:paraId="2FC18F40">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7 (16.3%)</w:t>
            </w:r>
          </w:p>
        </w:tc>
        <w:tc>
          <w:tcPr>
            <w:tcW w:w="1519" w:type="dxa"/>
          </w:tcPr>
          <w:p w14:paraId="4A77A814">
            <w:pPr>
              <w:jc w:val="center"/>
              <w:rPr>
                <w:rFonts w:hint="default" w:ascii="Times New Roman" w:hAnsi="Times New Roman" w:cs="Times New Roman"/>
                <w:sz w:val="20"/>
                <w:szCs w:val="20"/>
                <w:vertAlign w:val="baseline"/>
              </w:rPr>
            </w:pPr>
          </w:p>
        </w:tc>
      </w:tr>
      <w:tr w14:paraId="2737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189F93EE">
            <w:pP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rPr>
              <w:t>Video source</w:t>
            </w:r>
            <w:r>
              <w:rPr>
                <w:rFonts w:hint="default" w:ascii="Times New Roman" w:hAnsi="Times New Roman" w:cs="Times New Roman"/>
                <w:sz w:val="20"/>
                <w:szCs w:val="20"/>
                <w:vertAlign w:val="baseline"/>
                <w:lang w:val="en-US" w:eastAsia="zh-CN"/>
              </w:rPr>
              <w:t xml:space="preserve"> [n (%)]</w:t>
            </w:r>
          </w:p>
        </w:tc>
        <w:tc>
          <w:tcPr>
            <w:tcW w:w="1517" w:type="dxa"/>
          </w:tcPr>
          <w:p w14:paraId="4F5E6FA5">
            <w:pPr>
              <w:jc w:val="center"/>
              <w:rPr>
                <w:rFonts w:hint="default" w:ascii="Times New Roman" w:hAnsi="Times New Roman" w:cs="Times New Roman"/>
                <w:sz w:val="20"/>
                <w:szCs w:val="20"/>
                <w:vertAlign w:val="baseline"/>
              </w:rPr>
            </w:pPr>
          </w:p>
        </w:tc>
        <w:tc>
          <w:tcPr>
            <w:tcW w:w="1517" w:type="dxa"/>
          </w:tcPr>
          <w:p w14:paraId="28884E75">
            <w:pPr>
              <w:jc w:val="center"/>
              <w:rPr>
                <w:rFonts w:hint="default" w:ascii="Times New Roman" w:hAnsi="Times New Roman" w:cs="Times New Roman"/>
                <w:sz w:val="20"/>
                <w:szCs w:val="20"/>
                <w:vertAlign w:val="baseline"/>
              </w:rPr>
            </w:pPr>
          </w:p>
        </w:tc>
        <w:tc>
          <w:tcPr>
            <w:tcW w:w="1519" w:type="dxa"/>
          </w:tcPr>
          <w:p w14:paraId="7AF270A4">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r w14:paraId="5ACB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1DEA6413">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Non-medical professional institutions</w:t>
            </w:r>
          </w:p>
        </w:tc>
        <w:tc>
          <w:tcPr>
            <w:tcW w:w="1517" w:type="dxa"/>
          </w:tcPr>
          <w:p w14:paraId="41A8A0A2">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0 (0.0%)</w:t>
            </w:r>
          </w:p>
        </w:tc>
        <w:tc>
          <w:tcPr>
            <w:tcW w:w="1517" w:type="dxa"/>
          </w:tcPr>
          <w:p w14:paraId="0B31069C">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12 (27.9%)</w:t>
            </w:r>
          </w:p>
        </w:tc>
        <w:tc>
          <w:tcPr>
            <w:tcW w:w="1519" w:type="dxa"/>
          </w:tcPr>
          <w:p w14:paraId="7AC7BBB4">
            <w:pPr>
              <w:jc w:val="center"/>
              <w:rPr>
                <w:rFonts w:hint="default" w:ascii="Times New Roman" w:hAnsi="Times New Roman" w:cs="Times New Roman"/>
                <w:sz w:val="20"/>
                <w:szCs w:val="20"/>
                <w:vertAlign w:val="baseline"/>
              </w:rPr>
            </w:pPr>
          </w:p>
        </w:tc>
      </w:tr>
      <w:tr w14:paraId="0DAB4B7F">
        <w:tblPrEx>
          <w:tblCellMar>
            <w:top w:w="0" w:type="dxa"/>
            <w:left w:w="108" w:type="dxa"/>
            <w:bottom w:w="0" w:type="dxa"/>
            <w:right w:w="108" w:type="dxa"/>
          </w:tblCellMar>
        </w:tblPrEx>
        <w:tc>
          <w:tcPr>
            <w:tcW w:w="3763" w:type="dxa"/>
          </w:tcPr>
          <w:p w14:paraId="402B1CBD">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Medical professional institutions</w:t>
            </w:r>
          </w:p>
        </w:tc>
        <w:tc>
          <w:tcPr>
            <w:tcW w:w="1517" w:type="dxa"/>
          </w:tcPr>
          <w:p w14:paraId="073A8C61">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2 (2.4%)</w:t>
            </w:r>
          </w:p>
        </w:tc>
        <w:tc>
          <w:tcPr>
            <w:tcW w:w="1517" w:type="dxa"/>
          </w:tcPr>
          <w:p w14:paraId="5EBAD742">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5 (11.6%)</w:t>
            </w:r>
          </w:p>
        </w:tc>
        <w:tc>
          <w:tcPr>
            <w:tcW w:w="1519" w:type="dxa"/>
          </w:tcPr>
          <w:p w14:paraId="50D498D4">
            <w:pPr>
              <w:jc w:val="center"/>
              <w:rPr>
                <w:rFonts w:hint="default" w:ascii="Times New Roman" w:hAnsi="Times New Roman" w:cs="Times New Roman"/>
                <w:sz w:val="20"/>
                <w:szCs w:val="20"/>
                <w:vertAlign w:val="baseline"/>
              </w:rPr>
            </w:pPr>
          </w:p>
        </w:tc>
      </w:tr>
      <w:tr w14:paraId="40A0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6F906474">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Non-medical professional individuals</w:t>
            </w:r>
          </w:p>
        </w:tc>
        <w:tc>
          <w:tcPr>
            <w:tcW w:w="1517" w:type="dxa"/>
          </w:tcPr>
          <w:p w14:paraId="3F13D1DF">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8 (9.8%)</w:t>
            </w:r>
          </w:p>
        </w:tc>
        <w:tc>
          <w:tcPr>
            <w:tcW w:w="1517" w:type="dxa"/>
          </w:tcPr>
          <w:p w14:paraId="7381FABE">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7 (16.3%)</w:t>
            </w:r>
          </w:p>
        </w:tc>
        <w:tc>
          <w:tcPr>
            <w:tcW w:w="1519" w:type="dxa"/>
          </w:tcPr>
          <w:p w14:paraId="7CAEFE44">
            <w:pPr>
              <w:jc w:val="center"/>
              <w:rPr>
                <w:rFonts w:hint="default" w:ascii="Times New Roman" w:hAnsi="Times New Roman" w:cs="Times New Roman"/>
                <w:sz w:val="20"/>
                <w:szCs w:val="20"/>
                <w:vertAlign w:val="baseline"/>
              </w:rPr>
            </w:pPr>
          </w:p>
        </w:tc>
      </w:tr>
      <w:tr w14:paraId="08C1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658400E0">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Medical professional individuals</w:t>
            </w:r>
          </w:p>
        </w:tc>
        <w:tc>
          <w:tcPr>
            <w:tcW w:w="1517" w:type="dxa"/>
          </w:tcPr>
          <w:p w14:paraId="2EA2C1B9">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72 (87.8%)</w:t>
            </w:r>
          </w:p>
        </w:tc>
        <w:tc>
          <w:tcPr>
            <w:tcW w:w="1517" w:type="dxa"/>
          </w:tcPr>
          <w:p w14:paraId="7ECE12D7">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19 (44.2%)</w:t>
            </w:r>
          </w:p>
        </w:tc>
        <w:tc>
          <w:tcPr>
            <w:tcW w:w="1519" w:type="dxa"/>
          </w:tcPr>
          <w:p w14:paraId="2F749E44">
            <w:pPr>
              <w:jc w:val="center"/>
              <w:rPr>
                <w:rFonts w:hint="default" w:ascii="Times New Roman" w:hAnsi="Times New Roman" w:cs="Times New Roman"/>
                <w:sz w:val="20"/>
                <w:szCs w:val="20"/>
                <w:vertAlign w:val="baseline"/>
              </w:rPr>
            </w:pPr>
          </w:p>
        </w:tc>
      </w:tr>
      <w:tr w14:paraId="5324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4ED0851E">
            <w:pP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Video type</w:t>
            </w:r>
          </w:p>
        </w:tc>
        <w:tc>
          <w:tcPr>
            <w:tcW w:w="1517" w:type="dxa"/>
          </w:tcPr>
          <w:p w14:paraId="03896616">
            <w:pPr>
              <w:jc w:val="center"/>
              <w:rPr>
                <w:rFonts w:hint="default" w:ascii="Times New Roman" w:hAnsi="Times New Roman" w:cs="Times New Roman"/>
                <w:sz w:val="20"/>
                <w:szCs w:val="20"/>
                <w:vertAlign w:val="baseline"/>
              </w:rPr>
            </w:pPr>
          </w:p>
        </w:tc>
        <w:tc>
          <w:tcPr>
            <w:tcW w:w="1517" w:type="dxa"/>
          </w:tcPr>
          <w:p w14:paraId="58A8D0D1">
            <w:pPr>
              <w:jc w:val="center"/>
              <w:rPr>
                <w:rFonts w:hint="default" w:ascii="Times New Roman" w:hAnsi="Times New Roman" w:cs="Times New Roman"/>
                <w:sz w:val="20"/>
                <w:szCs w:val="20"/>
                <w:vertAlign w:val="baseline"/>
              </w:rPr>
            </w:pPr>
          </w:p>
        </w:tc>
        <w:tc>
          <w:tcPr>
            <w:tcW w:w="1519" w:type="dxa"/>
          </w:tcPr>
          <w:p w14:paraId="1DB7D2F0">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r w14:paraId="1B03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6FF4245D">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eastAsia="zh-CN"/>
              </w:rPr>
              <w:t>B</w:t>
            </w:r>
            <w:r>
              <w:rPr>
                <w:rFonts w:hint="default" w:ascii="Times New Roman" w:hAnsi="Times New Roman" w:cs="Times New Roman"/>
                <w:sz w:val="20"/>
                <w:szCs w:val="20"/>
                <w:vertAlign w:val="baseline"/>
              </w:rPr>
              <w:t>asic knowledge of the disease</w:t>
            </w:r>
          </w:p>
        </w:tc>
        <w:tc>
          <w:tcPr>
            <w:tcW w:w="1517" w:type="dxa"/>
          </w:tcPr>
          <w:p w14:paraId="432F3C0D">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21 (25.6%)</w:t>
            </w:r>
          </w:p>
        </w:tc>
        <w:tc>
          <w:tcPr>
            <w:tcW w:w="1517" w:type="dxa"/>
          </w:tcPr>
          <w:p w14:paraId="3F7443B2">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27 (62.8%)</w:t>
            </w:r>
          </w:p>
        </w:tc>
        <w:tc>
          <w:tcPr>
            <w:tcW w:w="1519" w:type="dxa"/>
          </w:tcPr>
          <w:p w14:paraId="2FADE50A">
            <w:pPr>
              <w:jc w:val="center"/>
              <w:rPr>
                <w:rFonts w:hint="default" w:ascii="Times New Roman" w:hAnsi="Times New Roman" w:cs="Times New Roman"/>
                <w:sz w:val="20"/>
                <w:szCs w:val="20"/>
                <w:vertAlign w:val="baseline"/>
              </w:rPr>
            </w:pPr>
          </w:p>
        </w:tc>
      </w:tr>
      <w:tr w14:paraId="3AA4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44FC6E93">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eastAsia="zh-CN"/>
              </w:rPr>
              <w:t>C</w:t>
            </w:r>
            <w:r>
              <w:rPr>
                <w:rFonts w:hint="default" w:ascii="Times New Roman" w:hAnsi="Times New Roman" w:cs="Times New Roman"/>
                <w:sz w:val="20"/>
                <w:szCs w:val="20"/>
                <w:vertAlign w:val="baseline"/>
              </w:rPr>
              <w:t>ase reports and related discussions</w:t>
            </w:r>
          </w:p>
        </w:tc>
        <w:tc>
          <w:tcPr>
            <w:tcW w:w="1517" w:type="dxa"/>
          </w:tcPr>
          <w:p w14:paraId="0CA01C89">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42 (51.2%)</w:t>
            </w:r>
          </w:p>
        </w:tc>
        <w:tc>
          <w:tcPr>
            <w:tcW w:w="1517" w:type="dxa"/>
          </w:tcPr>
          <w:p w14:paraId="5B10958B">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7 (16.3%)</w:t>
            </w:r>
          </w:p>
        </w:tc>
        <w:tc>
          <w:tcPr>
            <w:tcW w:w="1519" w:type="dxa"/>
          </w:tcPr>
          <w:p w14:paraId="381F06EB">
            <w:pPr>
              <w:jc w:val="center"/>
              <w:rPr>
                <w:rFonts w:hint="default" w:ascii="Times New Roman" w:hAnsi="Times New Roman" w:cs="Times New Roman"/>
                <w:sz w:val="20"/>
                <w:szCs w:val="20"/>
                <w:vertAlign w:val="baseline"/>
              </w:rPr>
            </w:pPr>
          </w:p>
        </w:tc>
      </w:tr>
      <w:tr w14:paraId="182D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0E476451">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Treatment process</w:t>
            </w:r>
          </w:p>
        </w:tc>
        <w:tc>
          <w:tcPr>
            <w:tcW w:w="1517" w:type="dxa"/>
          </w:tcPr>
          <w:p w14:paraId="340A6B15">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19 (23.2%)</w:t>
            </w:r>
          </w:p>
        </w:tc>
        <w:tc>
          <w:tcPr>
            <w:tcW w:w="1517" w:type="dxa"/>
          </w:tcPr>
          <w:p w14:paraId="33902C07">
            <w:pPr>
              <w:pStyle w:val="5"/>
              <w:keepNext w:val="0"/>
              <w:keepLines w:val="0"/>
              <w:widowControl/>
              <w:suppressLineNumbers w:val="0"/>
              <w:ind w:left="0" w:leftChars="0" w:right="0" w:rightChars="0"/>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rPr>
              <w:t>9 (20.9%)</w:t>
            </w:r>
          </w:p>
        </w:tc>
        <w:tc>
          <w:tcPr>
            <w:tcW w:w="1519" w:type="dxa"/>
          </w:tcPr>
          <w:p w14:paraId="6CCDB093">
            <w:pPr>
              <w:jc w:val="center"/>
              <w:rPr>
                <w:rFonts w:hint="default" w:ascii="Times New Roman" w:hAnsi="Times New Roman" w:cs="Times New Roman"/>
                <w:sz w:val="20"/>
                <w:szCs w:val="20"/>
                <w:vertAlign w:val="baseline"/>
              </w:rPr>
            </w:pPr>
          </w:p>
        </w:tc>
      </w:tr>
      <w:tr w14:paraId="737C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63" w:type="dxa"/>
          </w:tcPr>
          <w:p w14:paraId="7C84DADF">
            <w:pP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rPr>
              <w:t>Video duration</w:t>
            </w:r>
            <w:r>
              <w:rPr>
                <w:rFonts w:hint="default" w:ascii="Times New Roman" w:hAnsi="Times New Roman" w:cs="Times New Roman"/>
                <w:sz w:val="20"/>
                <w:szCs w:val="20"/>
                <w:vertAlign w:val="baseline"/>
                <w:lang w:val="en-US" w:eastAsia="zh-CN"/>
              </w:rPr>
              <w:t xml:space="preserve"> [s, median (IQR)]</w:t>
            </w:r>
          </w:p>
        </w:tc>
        <w:tc>
          <w:tcPr>
            <w:tcW w:w="1517" w:type="dxa"/>
          </w:tcPr>
          <w:p w14:paraId="39FD0C0F">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42 (25-79)</w:t>
            </w:r>
          </w:p>
        </w:tc>
        <w:tc>
          <w:tcPr>
            <w:tcW w:w="1517" w:type="dxa"/>
          </w:tcPr>
          <w:p w14:paraId="2CFFB965">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88 (48-227)</w:t>
            </w:r>
          </w:p>
        </w:tc>
        <w:tc>
          <w:tcPr>
            <w:tcW w:w="1519" w:type="dxa"/>
          </w:tcPr>
          <w:p w14:paraId="43C2262A">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0.0001</w:t>
            </w:r>
          </w:p>
        </w:tc>
      </w:tr>
      <w:tr w14:paraId="00B7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0C7CB33B">
            <w:pP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rPr>
              <w:t>Views</w:t>
            </w:r>
            <w:r>
              <w:rPr>
                <w:rFonts w:hint="default" w:ascii="Times New Roman" w:hAnsi="Times New Roman" w:cs="Times New Roman"/>
                <w:sz w:val="20"/>
                <w:szCs w:val="20"/>
                <w:vertAlign w:val="baseline"/>
                <w:lang w:val="en-US" w:eastAsia="zh-CN"/>
              </w:rPr>
              <w:t xml:space="preserve"> [median (IQR)]</w:t>
            </w:r>
          </w:p>
        </w:tc>
        <w:tc>
          <w:tcPr>
            <w:tcW w:w="1517" w:type="dxa"/>
          </w:tcPr>
          <w:p w14:paraId="57106F21">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48226 (17896-127517)</w:t>
            </w:r>
          </w:p>
        </w:tc>
        <w:tc>
          <w:tcPr>
            <w:tcW w:w="1517" w:type="dxa"/>
          </w:tcPr>
          <w:p w14:paraId="1A3E8869">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863</w:t>
            </w:r>
          </w:p>
          <w:p w14:paraId="337C8BFA">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(326-5037)</w:t>
            </w:r>
          </w:p>
        </w:tc>
        <w:tc>
          <w:tcPr>
            <w:tcW w:w="1519" w:type="dxa"/>
          </w:tcPr>
          <w:p w14:paraId="2A6C2CDF">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r w14:paraId="3C51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467E1A63">
            <w:pP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Likes [median (IQR)]</w:t>
            </w:r>
          </w:p>
        </w:tc>
        <w:tc>
          <w:tcPr>
            <w:tcW w:w="1517" w:type="dxa"/>
          </w:tcPr>
          <w:p w14:paraId="6A5C8458">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170 (65-829)</w:t>
            </w:r>
          </w:p>
        </w:tc>
        <w:tc>
          <w:tcPr>
            <w:tcW w:w="1517" w:type="dxa"/>
          </w:tcPr>
          <w:p w14:paraId="06DD8816">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 (1-18)</w:t>
            </w:r>
          </w:p>
        </w:tc>
        <w:tc>
          <w:tcPr>
            <w:tcW w:w="1519" w:type="dxa"/>
          </w:tcPr>
          <w:p w14:paraId="3392DF45">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r w14:paraId="346C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320467A3">
            <w:pPr>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eastAsia="zh-CN"/>
              </w:rPr>
              <w:t>Favorite [median (IQR)]</w:t>
            </w:r>
          </w:p>
        </w:tc>
        <w:tc>
          <w:tcPr>
            <w:tcW w:w="1517" w:type="dxa"/>
          </w:tcPr>
          <w:p w14:paraId="07E9BAD6">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46 (23-117)</w:t>
            </w:r>
          </w:p>
        </w:tc>
        <w:tc>
          <w:tcPr>
            <w:tcW w:w="1517" w:type="dxa"/>
          </w:tcPr>
          <w:p w14:paraId="2DAA23E1">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 (0-35)</w:t>
            </w:r>
          </w:p>
        </w:tc>
        <w:tc>
          <w:tcPr>
            <w:tcW w:w="1519" w:type="dxa"/>
          </w:tcPr>
          <w:p w14:paraId="33804F8E">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r w14:paraId="5F6F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10C76E76">
            <w:pP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C</w:t>
            </w:r>
            <w:r>
              <w:rPr>
                <w:rFonts w:hint="default" w:ascii="Times New Roman" w:hAnsi="Times New Roman" w:cs="Times New Roman"/>
                <w:sz w:val="20"/>
                <w:szCs w:val="20"/>
                <w:vertAlign w:val="baseline"/>
              </w:rPr>
              <w:t>omments</w:t>
            </w:r>
            <w:r>
              <w:rPr>
                <w:rFonts w:hint="default" w:ascii="Times New Roman" w:hAnsi="Times New Roman" w:cs="Times New Roman"/>
                <w:sz w:val="20"/>
                <w:szCs w:val="20"/>
                <w:vertAlign w:val="baseline"/>
                <w:lang w:val="en-US" w:eastAsia="zh-CN"/>
              </w:rPr>
              <w:t xml:space="preserve"> [median (IQR)]</w:t>
            </w:r>
          </w:p>
        </w:tc>
        <w:tc>
          <w:tcPr>
            <w:tcW w:w="1517" w:type="dxa"/>
          </w:tcPr>
          <w:p w14:paraId="108D16A9">
            <w:pPr>
              <w:jc w:val="cente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19 (7-94)</w:t>
            </w:r>
          </w:p>
        </w:tc>
        <w:tc>
          <w:tcPr>
            <w:tcW w:w="1517" w:type="dxa"/>
          </w:tcPr>
          <w:p w14:paraId="1AB78E75">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 (0-2)</w:t>
            </w:r>
          </w:p>
        </w:tc>
        <w:tc>
          <w:tcPr>
            <w:tcW w:w="1519" w:type="dxa"/>
          </w:tcPr>
          <w:p w14:paraId="490313D7">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r w14:paraId="33AA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4462CA6C">
            <w:pP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rPr>
              <w:t>Share</w:t>
            </w:r>
            <w:r>
              <w:rPr>
                <w:rFonts w:hint="default" w:ascii="Times New Roman" w:hAnsi="Times New Roman" w:cs="Times New Roman"/>
                <w:sz w:val="20"/>
                <w:szCs w:val="20"/>
                <w:vertAlign w:val="baseline"/>
                <w:lang w:val="en-US" w:eastAsia="zh-CN"/>
              </w:rPr>
              <w:t xml:space="preserve"> [median (IQR)]</w:t>
            </w:r>
          </w:p>
        </w:tc>
        <w:tc>
          <w:tcPr>
            <w:tcW w:w="1517" w:type="dxa"/>
          </w:tcPr>
          <w:p w14:paraId="37C26E54">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62 (25-166)</w:t>
            </w:r>
          </w:p>
        </w:tc>
        <w:tc>
          <w:tcPr>
            <w:tcW w:w="1517" w:type="dxa"/>
          </w:tcPr>
          <w:p w14:paraId="698950C5">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7 (1-25)</w:t>
            </w:r>
          </w:p>
        </w:tc>
        <w:tc>
          <w:tcPr>
            <w:tcW w:w="1519" w:type="dxa"/>
          </w:tcPr>
          <w:p w14:paraId="55ACDC86">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r w14:paraId="11CA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Pr>
          <w:p w14:paraId="2BC302AD">
            <w:pPr>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rPr>
              <w:t>GQS scores</w:t>
            </w:r>
            <w:r>
              <w:rPr>
                <w:rFonts w:hint="default" w:ascii="Times New Roman" w:hAnsi="Times New Roman" w:cs="Times New Roman"/>
                <w:sz w:val="20"/>
                <w:szCs w:val="20"/>
                <w:vertAlign w:val="baseline"/>
                <w:lang w:val="en-US" w:eastAsia="zh-CN"/>
              </w:rPr>
              <w:t xml:space="preserve"> [median (IQR)]</w:t>
            </w:r>
          </w:p>
        </w:tc>
        <w:tc>
          <w:tcPr>
            <w:tcW w:w="1517" w:type="dxa"/>
          </w:tcPr>
          <w:p w14:paraId="18B5C678">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 (4-5)</w:t>
            </w:r>
          </w:p>
        </w:tc>
        <w:tc>
          <w:tcPr>
            <w:tcW w:w="1517" w:type="dxa"/>
          </w:tcPr>
          <w:p w14:paraId="3312AFEE">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 (5-5)</w:t>
            </w:r>
          </w:p>
        </w:tc>
        <w:tc>
          <w:tcPr>
            <w:tcW w:w="1519" w:type="dxa"/>
          </w:tcPr>
          <w:p w14:paraId="5E9ADCD1">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r w14:paraId="404B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dxa"/>
            <w:tcBorders>
              <w:bottom w:val="single" w:color="auto" w:sz="4" w:space="0"/>
            </w:tcBorders>
          </w:tcPr>
          <w:p w14:paraId="263DF3CB">
            <w:pPr>
              <w:rPr>
                <w:rFonts w:hint="default" w:ascii="Times New Roman" w:hAnsi="Times New Roman" w:cs="Times New Roman" w:eastAsiaTheme="minorEastAsia"/>
                <w:sz w:val="20"/>
                <w:szCs w:val="20"/>
                <w:vertAlign w:val="baseline"/>
                <w:lang w:val="en-US" w:eastAsia="zh-CN"/>
              </w:rPr>
            </w:pPr>
            <w:r>
              <w:rPr>
                <w:rFonts w:hint="eastAsia" w:ascii="Times New Roman" w:hAnsi="Times New Roman" w:cs="Times New Roman"/>
                <w:sz w:val="20"/>
                <w:szCs w:val="20"/>
                <w:vertAlign w:val="baseline"/>
                <w:lang w:val="en-US" w:eastAsia="zh-CN"/>
              </w:rPr>
              <w:t>m</w:t>
            </w:r>
            <w:r>
              <w:rPr>
                <w:rFonts w:hint="default" w:ascii="Times New Roman" w:hAnsi="Times New Roman" w:cs="Times New Roman"/>
                <w:sz w:val="20"/>
                <w:szCs w:val="20"/>
                <w:vertAlign w:val="baseline"/>
              </w:rPr>
              <w:t>DISCERN scores</w:t>
            </w:r>
            <w:r>
              <w:rPr>
                <w:rFonts w:hint="default" w:ascii="Times New Roman" w:hAnsi="Times New Roman" w:cs="Times New Roman"/>
                <w:sz w:val="20"/>
                <w:szCs w:val="20"/>
                <w:vertAlign w:val="baseline"/>
                <w:lang w:val="en-US" w:eastAsia="zh-CN"/>
              </w:rPr>
              <w:t xml:space="preserve"> [median (IQR)]</w:t>
            </w:r>
          </w:p>
        </w:tc>
        <w:tc>
          <w:tcPr>
            <w:tcW w:w="1517" w:type="dxa"/>
            <w:tcBorders>
              <w:bottom w:val="single" w:color="auto" w:sz="4" w:space="0"/>
            </w:tcBorders>
          </w:tcPr>
          <w:p w14:paraId="1B46D82C">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 (3-5)</w:t>
            </w:r>
          </w:p>
        </w:tc>
        <w:tc>
          <w:tcPr>
            <w:tcW w:w="1517" w:type="dxa"/>
            <w:tcBorders>
              <w:bottom w:val="single" w:color="auto" w:sz="4" w:space="0"/>
            </w:tcBorders>
          </w:tcPr>
          <w:p w14:paraId="2AD3A298">
            <w:pPr>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 (5-5)</w:t>
            </w:r>
          </w:p>
        </w:tc>
        <w:tc>
          <w:tcPr>
            <w:tcW w:w="1519" w:type="dxa"/>
            <w:tcBorders>
              <w:bottom w:val="single" w:color="auto" w:sz="4" w:space="0"/>
            </w:tcBorders>
          </w:tcPr>
          <w:p w14:paraId="5E16E3E6">
            <w:pPr>
              <w:jc w:val="center"/>
              <w:rPr>
                <w:rFonts w:hint="default" w:ascii="Times New Roman" w:hAnsi="Times New Roman" w:cs="Times New Roman"/>
                <w:sz w:val="20"/>
                <w:szCs w:val="20"/>
                <w:vertAlign w:val="baseline"/>
              </w:rPr>
            </w:pPr>
            <w:r>
              <w:rPr>
                <w:rFonts w:hint="default" w:ascii="Times New Roman" w:hAnsi="Times New Roman" w:eastAsia="宋体" w:cs="Times New Roman"/>
                <w:sz w:val="20"/>
                <w:szCs w:val="20"/>
                <w:lang w:val="en-US" w:eastAsia="zh-CN"/>
              </w:rPr>
              <w:t>＜</w:t>
            </w:r>
            <w:r>
              <w:rPr>
                <w:rFonts w:hint="default" w:ascii="Times New Roman" w:hAnsi="Times New Roman" w:eastAsia="宋体" w:cs="Times New Roman"/>
                <w:sz w:val="20"/>
                <w:szCs w:val="20"/>
              </w:rPr>
              <w:t xml:space="preserve"> 0.0001</w:t>
            </w:r>
          </w:p>
        </w:tc>
      </w:tr>
    </w:tbl>
    <w:p w14:paraId="0E9B16C2">
      <w:pPr>
        <w:spacing w:line="360" w:lineRule="auto"/>
        <w:rPr>
          <w:rFonts w:ascii="Times New Roman" w:hAnsi="Times New Roman" w:cs="Times New Roman"/>
          <w:sz w:val="24"/>
        </w:rPr>
      </w:pPr>
    </w:p>
    <w:p w14:paraId="0663A785">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Detailed Interaction Metrics by Video Source and Type</w:t>
      </w:r>
    </w:p>
    <w:p w14:paraId="3432D52E">
      <w:pPr>
        <w:spacing w:line="360" w:lineRule="auto"/>
        <w:rPr>
          <w:rFonts w:ascii="Times New Roman" w:hAnsi="Times New Roman" w:cs="Times New Roman"/>
          <w:sz w:val="24"/>
        </w:rPr>
      </w:pPr>
      <w:r>
        <w:rPr>
          <w:rFonts w:hint="eastAsia" w:ascii="Times New Roman" w:hAnsi="Times New Roman" w:cs="Times New Roman"/>
          <w:sz w:val="24"/>
        </w:rPr>
        <w:t>TikTok videos were shorter (median 42s) than Bilibili videos (median 88s) and had more views (median 48,226 vs. 863). Both platforms showed high content quality, with TikTok’s median GQS of 5 and mDISCERN of 4, while Bilibili had slightly better scores (GQS 5, mDISCERN 5), with significant differences (p &lt; 0.0001). Non-medical creators on TikTok had the highest median views (147,750.5), while medical professionals produced shorter videos with fewer comments. On Bilibili, non-medical institutions had the highest views (933), and "Basic knowledge" videos performed best. These findings highlight how creator identity and content type impact video performance across platforms</w:t>
      </w:r>
      <w:r>
        <w:rPr>
          <w:rFonts w:hint="eastAsia" w:ascii="Times New Roman" w:hAnsi="Times New Roman" w:cs="Times New Roman"/>
          <w:sz w:val="24"/>
          <w:lang w:val="en-US" w:eastAsia="zh-CN"/>
        </w:rPr>
        <w:t xml:space="preserve"> </w:t>
      </w:r>
      <w:r>
        <w:rPr>
          <w:rFonts w:ascii="Times New Roman" w:hAnsi="Times New Roman" w:cs="Times New Roman"/>
          <w:sz w:val="24"/>
        </w:rPr>
        <w:t>(</w:t>
      </w:r>
      <w:r>
        <w:rPr>
          <w:rFonts w:hint="eastAsia" w:ascii="Times New Roman" w:hAnsi="Times New Roman" w:cs="Times New Roman"/>
          <w:sz w:val="24"/>
        </w:rPr>
        <w:t>Supplementary Table 1</w:t>
      </w:r>
      <w:r>
        <w:rPr>
          <w:rFonts w:ascii="Times New Roman" w:hAnsi="Times New Roman" w:cs="Times New Roman"/>
          <w:sz w:val="24"/>
        </w:rPr>
        <w:t>).</w:t>
      </w:r>
    </w:p>
    <w:p w14:paraId="611690A0">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Video Quality Assessment by Source and Type</w:t>
      </w:r>
    </w:p>
    <w:p w14:paraId="08E3814A">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Video quality analysis, categorized into low, middle, and high levels, revealed distinct patterns across platforms, video sources, and types</w:t>
      </w:r>
      <w:r>
        <w:rPr>
          <w:rFonts w:hint="eastAsia" w:ascii="Times New Roman" w:hAnsi="Times New Roman" w:eastAsia="宋体" w:cs="Times New Roman"/>
          <w:sz w:val="24"/>
          <w:lang w:val="en-US" w:eastAsia="zh-CN"/>
        </w:rPr>
        <w:t xml:space="preserve"> </w:t>
      </w:r>
      <w:r>
        <w:rPr>
          <w:rFonts w:ascii="Times New Roman" w:hAnsi="Times New Roman" w:eastAsia="宋体" w:cs="Times New Roman"/>
          <w:sz w:val="24"/>
        </w:rPr>
        <w:t xml:space="preserve">(Table </w:t>
      </w:r>
      <w:r>
        <w:rPr>
          <w:rFonts w:hint="eastAsia" w:ascii="Times New Roman" w:hAnsi="Times New Roman" w:eastAsia="宋体" w:cs="Times New Roman"/>
          <w:sz w:val="24"/>
          <w:lang w:val="en-US" w:eastAsia="zh-CN"/>
        </w:rPr>
        <w:t>2</w:t>
      </w:r>
      <w:r>
        <w:rPr>
          <w:rFonts w:ascii="Times New Roman" w:hAnsi="Times New Roman" w:eastAsia="宋体" w:cs="Times New Roman"/>
          <w:sz w:val="24"/>
        </w:rPr>
        <w:t>)</w:t>
      </w:r>
      <w:r>
        <w:rPr>
          <w:rFonts w:hint="eastAsia" w:ascii="Times New Roman" w:hAnsi="Times New Roman" w:eastAsia="宋体" w:cs="Times New Roman"/>
          <w:sz w:val="24"/>
        </w:rPr>
        <w:t>. On TikTok, medical professional (MP) sources had significantly higher quality, with more high GQS (p=0.041) and mDISCERN (p=0.002) videos than non-medical professional (NP) sources. NP sources had more low GQS videos (p=0.003). For video types, significant differences in middle mDISCERN scores were found (p=0.006), but not in GQS (p&gt;0.05). On Bilibili, no significant differences between NP and MP sources were observed (all p&gt;0.05). However, "Treatment process" videos had a higher proportion of low-quality content for both GQS and mDISCERN (p=0.023), suggesting content type, rather than creator background, influences quality on this platform.</w:t>
      </w:r>
    </w:p>
    <w:p w14:paraId="2147569B">
      <w:pPr>
        <w:spacing w:line="360" w:lineRule="auto"/>
        <w:rPr>
          <w:rFonts w:hint="eastAsia" w:ascii="Times New Roman" w:hAnsi="Times New Roman" w:eastAsia="宋体" w:cs="Times New Roman"/>
          <w:sz w:val="24"/>
        </w:rPr>
      </w:pPr>
    </w:p>
    <w:tbl>
      <w:tblPr>
        <w:tblStyle w:val="6"/>
        <w:tblpPr w:leftFromText="180" w:rightFromText="180" w:vertAnchor="text" w:horzAnchor="page" w:tblpX="840" w:tblpY="477"/>
        <w:tblOverlap w:val="never"/>
        <w:tblW w:w="10070" w:type="dxa"/>
        <w:tblInd w:w="0" w:type="dxa"/>
        <w:tblLayout w:type="fixed"/>
        <w:tblCellMar>
          <w:top w:w="0" w:type="dxa"/>
          <w:left w:w="108" w:type="dxa"/>
          <w:bottom w:w="0" w:type="dxa"/>
          <w:right w:w="108" w:type="dxa"/>
        </w:tblCellMar>
      </w:tblPr>
      <w:tblGrid>
        <w:gridCol w:w="1389"/>
        <w:gridCol w:w="587"/>
        <w:gridCol w:w="560"/>
        <w:gridCol w:w="731"/>
        <w:gridCol w:w="515"/>
        <w:gridCol w:w="704"/>
        <w:gridCol w:w="464"/>
        <w:gridCol w:w="736"/>
        <w:gridCol w:w="561"/>
        <w:gridCol w:w="574"/>
        <w:gridCol w:w="750"/>
        <w:gridCol w:w="529"/>
        <w:gridCol w:w="710"/>
        <w:gridCol w:w="503"/>
        <w:gridCol w:w="757"/>
      </w:tblGrid>
      <w:tr w14:paraId="2553A723">
        <w:tblPrEx>
          <w:tblCellMar>
            <w:top w:w="0" w:type="dxa"/>
            <w:left w:w="108" w:type="dxa"/>
            <w:bottom w:w="0" w:type="dxa"/>
            <w:right w:w="108" w:type="dxa"/>
          </w:tblCellMar>
        </w:tblPrEx>
        <w:trPr>
          <w:trHeight w:val="301" w:hRule="atLeast"/>
        </w:trPr>
        <w:tc>
          <w:tcPr>
            <w:tcW w:w="1389" w:type="dxa"/>
            <w:vMerge w:val="restart"/>
            <w:tcBorders>
              <w:top w:val="single" w:color="auto" w:sz="4" w:space="0"/>
            </w:tcBorders>
            <w:noWrap/>
            <w:vAlign w:val="center"/>
          </w:tcPr>
          <w:p w14:paraId="04BB51EE">
            <w:pPr>
              <w:jc w:val="center"/>
              <w:textAlignment w:val="center"/>
              <w:rPr>
                <w:rFonts w:hint="default" w:ascii="Times New Roman" w:hAnsi="Times New Roman" w:cs="Times New Roman"/>
                <w:sz w:val="20"/>
                <w:szCs w:val="20"/>
              </w:rPr>
            </w:pPr>
            <w:r>
              <w:rPr>
                <w:rFonts w:hint="default" w:ascii="Times New Roman" w:hAnsi="Times New Roman" w:cs="Times New Roman"/>
                <w:b/>
                <w:bCs/>
                <w:sz w:val="20"/>
                <w:szCs w:val="20"/>
                <w:lang w:bidi="ar"/>
              </w:rPr>
              <w:t>Scale, Quality level</w:t>
            </w:r>
          </w:p>
        </w:tc>
        <w:tc>
          <w:tcPr>
            <w:tcW w:w="4297" w:type="dxa"/>
            <w:gridSpan w:val="7"/>
            <w:tcBorders>
              <w:top w:val="single" w:color="auto" w:sz="4" w:space="0"/>
              <w:bottom w:val="single" w:color="auto" w:sz="4" w:space="0"/>
            </w:tcBorders>
            <w:noWrap/>
            <w:vAlign w:val="center"/>
          </w:tcPr>
          <w:p w14:paraId="2142BEBA">
            <w:pPr>
              <w:jc w:val="center"/>
              <w:textAlignment w:val="center"/>
              <w:rPr>
                <w:rFonts w:hint="default" w:ascii="Times New Roman" w:hAnsi="Times New Roman" w:cs="Times New Roman"/>
                <w:b/>
                <w:bCs/>
                <w:sz w:val="20"/>
                <w:szCs w:val="20"/>
                <w:lang w:bidi="ar"/>
              </w:rPr>
            </w:pPr>
            <w:r>
              <w:rPr>
                <w:rFonts w:hint="default" w:ascii="Times New Roman" w:hAnsi="Times New Roman" w:cs="Times New Roman"/>
                <w:b/>
                <w:bCs/>
                <w:sz w:val="20"/>
                <w:szCs w:val="20"/>
                <w:lang w:bidi="ar"/>
              </w:rPr>
              <w:t>TikTok (n=82), n</w:t>
            </w:r>
          </w:p>
        </w:tc>
        <w:tc>
          <w:tcPr>
            <w:tcW w:w="4384" w:type="dxa"/>
            <w:gridSpan w:val="7"/>
            <w:tcBorders>
              <w:top w:val="single" w:color="auto" w:sz="4" w:space="0"/>
              <w:bottom w:val="single" w:color="auto" w:sz="4" w:space="0"/>
            </w:tcBorders>
            <w:noWrap/>
            <w:vAlign w:val="center"/>
          </w:tcPr>
          <w:p w14:paraId="189B9FF1">
            <w:pPr>
              <w:jc w:val="center"/>
              <w:rPr>
                <w:rFonts w:hint="default" w:ascii="Times New Roman" w:hAnsi="Times New Roman" w:cs="Times New Roman"/>
                <w:b/>
                <w:bCs/>
                <w:sz w:val="20"/>
                <w:szCs w:val="20"/>
              </w:rPr>
            </w:pPr>
            <w:r>
              <w:rPr>
                <w:rFonts w:hint="default" w:ascii="Times New Roman" w:hAnsi="Times New Roman" w:cs="Times New Roman"/>
                <w:b/>
                <w:bCs/>
                <w:sz w:val="20"/>
                <w:szCs w:val="20"/>
                <w:lang w:bidi="ar"/>
              </w:rPr>
              <w:t>Bilibili (n=43), n</w:t>
            </w:r>
          </w:p>
        </w:tc>
      </w:tr>
      <w:tr w14:paraId="0A155DEA">
        <w:tblPrEx>
          <w:tblCellMar>
            <w:top w:w="0" w:type="dxa"/>
            <w:left w:w="108" w:type="dxa"/>
            <w:bottom w:w="0" w:type="dxa"/>
            <w:right w:w="108" w:type="dxa"/>
          </w:tblCellMar>
        </w:tblPrEx>
        <w:trPr>
          <w:trHeight w:val="301" w:hRule="atLeast"/>
        </w:trPr>
        <w:tc>
          <w:tcPr>
            <w:tcW w:w="1389" w:type="dxa"/>
            <w:vMerge w:val="continue"/>
            <w:noWrap/>
            <w:vAlign w:val="center"/>
          </w:tcPr>
          <w:p w14:paraId="153FA13D">
            <w:pPr>
              <w:jc w:val="center"/>
              <w:rPr>
                <w:rFonts w:hint="default" w:ascii="Times New Roman" w:hAnsi="Times New Roman" w:cs="Times New Roman"/>
                <w:sz w:val="20"/>
                <w:szCs w:val="20"/>
              </w:rPr>
            </w:pPr>
          </w:p>
        </w:tc>
        <w:tc>
          <w:tcPr>
            <w:tcW w:w="1147" w:type="dxa"/>
            <w:gridSpan w:val="2"/>
            <w:tcBorders>
              <w:top w:val="single" w:color="auto" w:sz="4" w:space="0"/>
              <w:bottom w:val="single" w:color="auto" w:sz="4" w:space="0"/>
            </w:tcBorders>
            <w:noWrap/>
            <w:vAlign w:val="center"/>
          </w:tcPr>
          <w:p w14:paraId="45196B7D">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Video source</w:t>
            </w:r>
          </w:p>
        </w:tc>
        <w:tc>
          <w:tcPr>
            <w:tcW w:w="731" w:type="dxa"/>
            <w:vMerge w:val="restart"/>
            <w:tcBorders>
              <w:top w:val="single" w:color="auto" w:sz="4" w:space="0"/>
            </w:tcBorders>
            <w:noWrap/>
            <w:vAlign w:val="center"/>
          </w:tcPr>
          <w:p w14:paraId="7B3D7B70">
            <w:pPr>
              <w:jc w:val="center"/>
              <w:textAlignment w:val="center"/>
              <w:rPr>
                <w:rFonts w:hint="default" w:ascii="Times New Roman" w:hAnsi="Times New Roman" w:cs="Times New Roman"/>
                <w:sz w:val="20"/>
                <w:szCs w:val="20"/>
                <w:lang w:bidi="ar"/>
              </w:rPr>
            </w:pPr>
            <w:r>
              <w:rPr>
                <w:rFonts w:hint="default" w:ascii="Times New Roman" w:hAnsi="Times New Roman" w:cs="Times New Roman"/>
                <w:i/>
                <w:iCs/>
                <w:sz w:val="20"/>
                <w:szCs w:val="20"/>
                <w:lang w:bidi="ar"/>
              </w:rPr>
              <w:t>P</w:t>
            </w:r>
            <w:r>
              <w:rPr>
                <w:rFonts w:hint="default" w:ascii="Times New Roman" w:hAnsi="Times New Roman" w:cs="Times New Roman"/>
                <w:sz w:val="20"/>
                <w:szCs w:val="20"/>
                <w:lang w:bidi="ar"/>
              </w:rPr>
              <w:t>-</w:t>
            </w:r>
          </w:p>
          <w:p w14:paraId="00B58083">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value</w:t>
            </w:r>
          </w:p>
        </w:tc>
        <w:tc>
          <w:tcPr>
            <w:tcW w:w="1683" w:type="dxa"/>
            <w:gridSpan w:val="3"/>
            <w:tcBorders>
              <w:top w:val="single" w:color="auto" w:sz="4" w:space="0"/>
              <w:bottom w:val="single" w:color="auto" w:sz="4" w:space="0"/>
            </w:tcBorders>
            <w:noWrap/>
            <w:vAlign w:val="center"/>
          </w:tcPr>
          <w:p w14:paraId="4E0FC8C7">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Video type</w:t>
            </w:r>
          </w:p>
        </w:tc>
        <w:tc>
          <w:tcPr>
            <w:tcW w:w="736" w:type="dxa"/>
            <w:vMerge w:val="restart"/>
            <w:tcBorders>
              <w:top w:val="single" w:color="auto" w:sz="4" w:space="0"/>
            </w:tcBorders>
            <w:noWrap/>
            <w:vAlign w:val="center"/>
          </w:tcPr>
          <w:p w14:paraId="4E96540F">
            <w:pPr>
              <w:jc w:val="center"/>
              <w:textAlignment w:val="center"/>
              <w:rPr>
                <w:rFonts w:hint="default" w:ascii="Times New Roman" w:hAnsi="Times New Roman" w:cs="Times New Roman"/>
                <w:sz w:val="20"/>
                <w:szCs w:val="20"/>
                <w:lang w:bidi="ar"/>
              </w:rPr>
            </w:pPr>
            <w:r>
              <w:rPr>
                <w:rFonts w:hint="default" w:ascii="Times New Roman" w:hAnsi="Times New Roman" w:cs="Times New Roman"/>
                <w:i/>
                <w:iCs/>
                <w:sz w:val="20"/>
                <w:szCs w:val="20"/>
                <w:lang w:bidi="ar"/>
              </w:rPr>
              <w:t>P</w:t>
            </w:r>
            <w:r>
              <w:rPr>
                <w:rFonts w:hint="default" w:ascii="Times New Roman" w:hAnsi="Times New Roman" w:cs="Times New Roman"/>
                <w:sz w:val="20"/>
                <w:szCs w:val="20"/>
                <w:lang w:bidi="ar"/>
              </w:rPr>
              <w:t>-</w:t>
            </w:r>
          </w:p>
          <w:p w14:paraId="7823999D">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value</w:t>
            </w:r>
          </w:p>
        </w:tc>
        <w:tc>
          <w:tcPr>
            <w:tcW w:w="1135" w:type="dxa"/>
            <w:gridSpan w:val="2"/>
            <w:tcBorders>
              <w:top w:val="single" w:color="auto" w:sz="4" w:space="0"/>
            </w:tcBorders>
            <w:noWrap/>
            <w:vAlign w:val="center"/>
          </w:tcPr>
          <w:p w14:paraId="08C917E5">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Video source</w:t>
            </w:r>
          </w:p>
        </w:tc>
        <w:tc>
          <w:tcPr>
            <w:tcW w:w="750" w:type="dxa"/>
            <w:vMerge w:val="restart"/>
            <w:tcBorders>
              <w:top w:val="single" w:color="auto" w:sz="4" w:space="0"/>
            </w:tcBorders>
            <w:noWrap/>
            <w:vAlign w:val="center"/>
          </w:tcPr>
          <w:p w14:paraId="25A66969">
            <w:pPr>
              <w:jc w:val="center"/>
              <w:textAlignment w:val="center"/>
              <w:rPr>
                <w:rFonts w:hint="default" w:ascii="Times New Roman" w:hAnsi="Times New Roman" w:cs="Times New Roman"/>
                <w:sz w:val="20"/>
                <w:szCs w:val="20"/>
                <w:lang w:bidi="ar"/>
              </w:rPr>
            </w:pPr>
            <w:r>
              <w:rPr>
                <w:rFonts w:hint="default" w:ascii="Times New Roman" w:hAnsi="Times New Roman" w:cs="Times New Roman"/>
                <w:i/>
                <w:iCs/>
                <w:sz w:val="20"/>
                <w:szCs w:val="20"/>
                <w:lang w:bidi="ar"/>
              </w:rPr>
              <w:t>P</w:t>
            </w:r>
            <w:r>
              <w:rPr>
                <w:rFonts w:hint="default" w:ascii="Times New Roman" w:hAnsi="Times New Roman" w:cs="Times New Roman"/>
                <w:sz w:val="20"/>
                <w:szCs w:val="20"/>
                <w:lang w:bidi="ar"/>
              </w:rPr>
              <w:t>-</w:t>
            </w:r>
          </w:p>
          <w:p w14:paraId="7C26A3FA">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value</w:t>
            </w:r>
          </w:p>
        </w:tc>
        <w:tc>
          <w:tcPr>
            <w:tcW w:w="1742" w:type="dxa"/>
            <w:gridSpan w:val="3"/>
            <w:tcBorders>
              <w:top w:val="single" w:color="auto" w:sz="4" w:space="0"/>
              <w:bottom w:val="single" w:color="auto" w:sz="4" w:space="0"/>
            </w:tcBorders>
            <w:noWrap/>
            <w:vAlign w:val="center"/>
          </w:tcPr>
          <w:p w14:paraId="716DAEEB">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Video type</w:t>
            </w:r>
          </w:p>
        </w:tc>
        <w:tc>
          <w:tcPr>
            <w:tcW w:w="757" w:type="dxa"/>
            <w:vMerge w:val="restart"/>
            <w:tcBorders>
              <w:top w:val="single" w:color="auto" w:sz="4" w:space="0"/>
            </w:tcBorders>
            <w:noWrap/>
            <w:vAlign w:val="center"/>
          </w:tcPr>
          <w:p w14:paraId="17DC6C61">
            <w:pPr>
              <w:jc w:val="center"/>
              <w:textAlignment w:val="center"/>
              <w:rPr>
                <w:rFonts w:hint="default" w:ascii="Times New Roman" w:hAnsi="Times New Roman" w:cs="Times New Roman"/>
                <w:sz w:val="20"/>
                <w:szCs w:val="20"/>
                <w:lang w:bidi="ar"/>
              </w:rPr>
            </w:pPr>
            <w:r>
              <w:rPr>
                <w:rFonts w:hint="default" w:ascii="Times New Roman" w:hAnsi="Times New Roman" w:cs="Times New Roman"/>
                <w:i/>
                <w:iCs/>
                <w:sz w:val="20"/>
                <w:szCs w:val="20"/>
                <w:lang w:bidi="ar"/>
              </w:rPr>
              <w:t>P</w:t>
            </w:r>
            <w:r>
              <w:rPr>
                <w:rFonts w:hint="default" w:ascii="Times New Roman" w:hAnsi="Times New Roman" w:cs="Times New Roman"/>
                <w:sz w:val="20"/>
                <w:szCs w:val="20"/>
                <w:lang w:bidi="ar"/>
              </w:rPr>
              <w:t>-</w:t>
            </w:r>
          </w:p>
          <w:p w14:paraId="7E367437">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value</w:t>
            </w:r>
          </w:p>
        </w:tc>
      </w:tr>
      <w:tr w14:paraId="621D3E37">
        <w:tblPrEx>
          <w:tblCellMar>
            <w:top w:w="0" w:type="dxa"/>
            <w:left w:w="108" w:type="dxa"/>
            <w:bottom w:w="0" w:type="dxa"/>
            <w:right w:w="108" w:type="dxa"/>
          </w:tblCellMar>
        </w:tblPrEx>
        <w:trPr>
          <w:trHeight w:val="301" w:hRule="atLeast"/>
        </w:trPr>
        <w:tc>
          <w:tcPr>
            <w:tcW w:w="1389" w:type="dxa"/>
            <w:vMerge w:val="continue"/>
            <w:tcBorders>
              <w:bottom w:val="single" w:color="auto" w:sz="4" w:space="0"/>
            </w:tcBorders>
            <w:noWrap/>
            <w:vAlign w:val="center"/>
          </w:tcPr>
          <w:p w14:paraId="70C09E44">
            <w:pPr>
              <w:jc w:val="center"/>
              <w:textAlignment w:val="center"/>
              <w:rPr>
                <w:rFonts w:hint="default" w:ascii="Times New Roman" w:hAnsi="Times New Roman" w:cs="Times New Roman"/>
                <w:sz w:val="20"/>
                <w:szCs w:val="20"/>
              </w:rPr>
            </w:pPr>
          </w:p>
        </w:tc>
        <w:tc>
          <w:tcPr>
            <w:tcW w:w="587" w:type="dxa"/>
            <w:tcBorders>
              <w:top w:val="single" w:color="auto" w:sz="4" w:space="0"/>
              <w:bottom w:val="single" w:color="auto" w:sz="4" w:space="0"/>
            </w:tcBorders>
            <w:noWrap/>
            <w:vAlign w:val="center"/>
          </w:tcPr>
          <w:p w14:paraId="288482C0">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NP</w:t>
            </w:r>
          </w:p>
        </w:tc>
        <w:tc>
          <w:tcPr>
            <w:tcW w:w="560" w:type="dxa"/>
            <w:tcBorders>
              <w:top w:val="single" w:color="auto" w:sz="4" w:space="0"/>
              <w:bottom w:val="single" w:color="auto" w:sz="4" w:space="0"/>
            </w:tcBorders>
            <w:noWrap/>
            <w:vAlign w:val="center"/>
          </w:tcPr>
          <w:p w14:paraId="7E98D6E3">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MP</w:t>
            </w:r>
          </w:p>
        </w:tc>
        <w:tc>
          <w:tcPr>
            <w:tcW w:w="731" w:type="dxa"/>
            <w:vMerge w:val="continue"/>
            <w:tcBorders>
              <w:bottom w:val="single" w:color="auto" w:sz="4" w:space="0"/>
            </w:tcBorders>
            <w:noWrap/>
            <w:vAlign w:val="center"/>
          </w:tcPr>
          <w:p w14:paraId="4878CC2F">
            <w:pPr>
              <w:jc w:val="center"/>
              <w:textAlignment w:val="center"/>
              <w:rPr>
                <w:rFonts w:hint="default" w:ascii="Times New Roman" w:hAnsi="Times New Roman" w:cs="Times New Roman"/>
                <w:sz w:val="20"/>
                <w:szCs w:val="20"/>
              </w:rPr>
            </w:pPr>
          </w:p>
        </w:tc>
        <w:tc>
          <w:tcPr>
            <w:tcW w:w="515" w:type="dxa"/>
            <w:tcBorders>
              <w:top w:val="single" w:color="auto" w:sz="4" w:space="0"/>
              <w:bottom w:val="single" w:color="auto" w:sz="4" w:space="0"/>
            </w:tcBorders>
          </w:tcPr>
          <w:p w14:paraId="5D3DFB84">
            <w:pPr>
              <w:jc w:val="center"/>
              <w:textAlignment w:val="top"/>
              <w:rPr>
                <w:rFonts w:hint="default" w:ascii="Times New Roman" w:hAnsi="Times New Roman" w:cs="Times New Roman"/>
                <w:sz w:val="20"/>
                <w:szCs w:val="20"/>
              </w:rPr>
            </w:pPr>
            <w:r>
              <w:rPr>
                <w:rFonts w:hint="default" w:ascii="Times New Roman" w:hAnsi="Times New Roman" w:cs="Times New Roman"/>
                <w:sz w:val="20"/>
                <w:szCs w:val="20"/>
                <w:lang w:bidi="ar"/>
              </w:rPr>
              <w:t>BK</w:t>
            </w:r>
          </w:p>
        </w:tc>
        <w:tc>
          <w:tcPr>
            <w:tcW w:w="704" w:type="dxa"/>
            <w:tcBorders>
              <w:top w:val="single" w:color="auto" w:sz="4" w:space="0"/>
              <w:bottom w:val="single" w:color="auto" w:sz="4" w:space="0"/>
            </w:tcBorders>
          </w:tcPr>
          <w:p w14:paraId="2DE6EBFE">
            <w:pPr>
              <w:jc w:val="center"/>
              <w:textAlignment w:val="top"/>
              <w:rPr>
                <w:rFonts w:hint="default" w:ascii="Times New Roman" w:hAnsi="Times New Roman" w:cs="Times New Roman"/>
                <w:sz w:val="20"/>
                <w:szCs w:val="20"/>
              </w:rPr>
            </w:pPr>
            <w:r>
              <w:rPr>
                <w:rFonts w:hint="default" w:ascii="Times New Roman" w:hAnsi="Times New Roman" w:cs="Times New Roman"/>
                <w:sz w:val="20"/>
                <w:szCs w:val="20"/>
                <w:lang w:bidi="ar"/>
              </w:rPr>
              <w:t>CRD</w:t>
            </w:r>
          </w:p>
        </w:tc>
        <w:tc>
          <w:tcPr>
            <w:tcW w:w="464" w:type="dxa"/>
            <w:tcBorders>
              <w:top w:val="single" w:color="auto" w:sz="4" w:space="0"/>
              <w:bottom w:val="single" w:color="auto" w:sz="4" w:space="0"/>
            </w:tcBorders>
          </w:tcPr>
          <w:p w14:paraId="0EF83E7A">
            <w:pPr>
              <w:jc w:val="center"/>
              <w:textAlignment w:val="top"/>
              <w:rPr>
                <w:rFonts w:hint="default" w:ascii="Times New Roman" w:hAnsi="Times New Roman" w:cs="Times New Roman"/>
                <w:sz w:val="20"/>
                <w:szCs w:val="20"/>
              </w:rPr>
            </w:pPr>
            <w:r>
              <w:rPr>
                <w:rFonts w:hint="default" w:ascii="Times New Roman" w:hAnsi="Times New Roman" w:cs="Times New Roman"/>
                <w:sz w:val="20"/>
                <w:szCs w:val="20"/>
                <w:lang w:bidi="ar"/>
              </w:rPr>
              <w:t>TP</w:t>
            </w:r>
          </w:p>
        </w:tc>
        <w:tc>
          <w:tcPr>
            <w:tcW w:w="736" w:type="dxa"/>
            <w:vMerge w:val="continue"/>
            <w:noWrap/>
            <w:vAlign w:val="center"/>
          </w:tcPr>
          <w:p w14:paraId="64818192">
            <w:pPr>
              <w:jc w:val="center"/>
              <w:textAlignment w:val="center"/>
              <w:rPr>
                <w:rFonts w:hint="default" w:ascii="Times New Roman" w:hAnsi="Times New Roman" w:cs="Times New Roman"/>
                <w:sz w:val="20"/>
                <w:szCs w:val="20"/>
              </w:rPr>
            </w:pPr>
          </w:p>
        </w:tc>
        <w:tc>
          <w:tcPr>
            <w:tcW w:w="561" w:type="dxa"/>
            <w:tcBorders>
              <w:top w:val="single" w:color="auto" w:sz="4" w:space="0"/>
              <w:bottom w:val="single" w:color="auto" w:sz="4" w:space="0"/>
            </w:tcBorders>
            <w:noWrap/>
            <w:vAlign w:val="center"/>
          </w:tcPr>
          <w:p w14:paraId="5754A12B">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NP</w:t>
            </w:r>
          </w:p>
        </w:tc>
        <w:tc>
          <w:tcPr>
            <w:tcW w:w="574" w:type="dxa"/>
            <w:tcBorders>
              <w:top w:val="single" w:color="auto" w:sz="4" w:space="0"/>
              <w:bottom w:val="single" w:color="auto" w:sz="4" w:space="0"/>
            </w:tcBorders>
            <w:noWrap/>
            <w:vAlign w:val="center"/>
          </w:tcPr>
          <w:p w14:paraId="64B7D45F">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MP</w:t>
            </w:r>
          </w:p>
        </w:tc>
        <w:tc>
          <w:tcPr>
            <w:tcW w:w="750" w:type="dxa"/>
            <w:vMerge w:val="continue"/>
            <w:tcBorders>
              <w:bottom w:val="single" w:color="auto" w:sz="4" w:space="0"/>
            </w:tcBorders>
            <w:noWrap/>
            <w:vAlign w:val="center"/>
          </w:tcPr>
          <w:p w14:paraId="7B5B33F9">
            <w:pPr>
              <w:jc w:val="center"/>
              <w:textAlignment w:val="center"/>
              <w:rPr>
                <w:rFonts w:hint="default" w:ascii="Times New Roman" w:hAnsi="Times New Roman" w:cs="Times New Roman"/>
                <w:sz w:val="20"/>
                <w:szCs w:val="20"/>
              </w:rPr>
            </w:pPr>
          </w:p>
        </w:tc>
        <w:tc>
          <w:tcPr>
            <w:tcW w:w="529" w:type="dxa"/>
            <w:tcBorders>
              <w:top w:val="single" w:color="auto" w:sz="4" w:space="0"/>
              <w:bottom w:val="single" w:color="auto" w:sz="4" w:space="0"/>
            </w:tcBorders>
          </w:tcPr>
          <w:p w14:paraId="74E5D423">
            <w:pPr>
              <w:jc w:val="center"/>
              <w:textAlignment w:val="top"/>
              <w:rPr>
                <w:rFonts w:hint="default" w:ascii="Times New Roman" w:hAnsi="Times New Roman" w:cs="Times New Roman"/>
                <w:sz w:val="20"/>
                <w:szCs w:val="20"/>
              </w:rPr>
            </w:pPr>
            <w:r>
              <w:rPr>
                <w:rFonts w:hint="default" w:ascii="Times New Roman" w:hAnsi="Times New Roman" w:cs="Times New Roman"/>
                <w:sz w:val="20"/>
                <w:szCs w:val="20"/>
                <w:lang w:bidi="ar"/>
              </w:rPr>
              <w:t>BK</w:t>
            </w:r>
          </w:p>
        </w:tc>
        <w:tc>
          <w:tcPr>
            <w:tcW w:w="710" w:type="dxa"/>
            <w:tcBorders>
              <w:top w:val="single" w:color="auto" w:sz="4" w:space="0"/>
              <w:bottom w:val="single" w:color="auto" w:sz="4" w:space="0"/>
            </w:tcBorders>
          </w:tcPr>
          <w:p w14:paraId="30082625">
            <w:pPr>
              <w:jc w:val="center"/>
              <w:textAlignment w:val="top"/>
              <w:rPr>
                <w:rFonts w:hint="default" w:ascii="Times New Roman" w:hAnsi="Times New Roman" w:cs="Times New Roman"/>
                <w:sz w:val="20"/>
                <w:szCs w:val="20"/>
              </w:rPr>
            </w:pPr>
            <w:r>
              <w:rPr>
                <w:rFonts w:hint="default" w:ascii="Times New Roman" w:hAnsi="Times New Roman" w:cs="Times New Roman"/>
                <w:sz w:val="20"/>
                <w:szCs w:val="20"/>
                <w:lang w:bidi="ar"/>
              </w:rPr>
              <w:t>CRD</w:t>
            </w:r>
          </w:p>
        </w:tc>
        <w:tc>
          <w:tcPr>
            <w:tcW w:w="503" w:type="dxa"/>
            <w:tcBorders>
              <w:top w:val="single" w:color="auto" w:sz="4" w:space="0"/>
              <w:bottom w:val="single" w:color="auto" w:sz="4" w:space="0"/>
            </w:tcBorders>
          </w:tcPr>
          <w:p w14:paraId="43AC34C7">
            <w:pPr>
              <w:jc w:val="center"/>
              <w:textAlignment w:val="top"/>
              <w:rPr>
                <w:rFonts w:hint="default" w:ascii="Times New Roman" w:hAnsi="Times New Roman" w:cs="Times New Roman"/>
                <w:sz w:val="20"/>
                <w:szCs w:val="20"/>
              </w:rPr>
            </w:pPr>
            <w:r>
              <w:rPr>
                <w:rFonts w:hint="default" w:ascii="Times New Roman" w:hAnsi="Times New Roman" w:cs="Times New Roman"/>
                <w:sz w:val="20"/>
                <w:szCs w:val="20"/>
                <w:lang w:bidi="ar"/>
              </w:rPr>
              <w:t>TP</w:t>
            </w:r>
          </w:p>
        </w:tc>
        <w:tc>
          <w:tcPr>
            <w:tcW w:w="757" w:type="dxa"/>
            <w:vMerge w:val="continue"/>
            <w:tcBorders>
              <w:bottom w:val="single" w:color="auto" w:sz="4" w:space="0"/>
            </w:tcBorders>
            <w:noWrap/>
            <w:vAlign w:val="center"/>
          </w:tcPr>
          <w:p w14:paraId="4071A03E">
            <w:pPr>
              <w:jc w:val="center"/>
              <w:textAlignment w:val="center"/>
              <w:rPr>
                <w:rFonts w:hint="default" w:ascii="Times New Roman" w:hAnsi="Times New Roman" w:cs="Times New Roman"/>
                <w:sz w:val="20"/>
                <w:szCs w:val="20"/>
              </w:rPr>
            </w:pPr>
          </w:p>
        </w:tc>
      </w:tr>
      <w:tr w14:paraId="76457E9D">
        <w:tblPrEx>
          <w:tblCellMar>
            <w:top w:w="0" w:type="dxa"/>
            <w:left w:w="108" w:type="dxa"/>
            <w:bottom w:w="0" w:type="dxa"/>
            <w:right w:w="108" w:type="dxa"/>
          </w:tblCellMar>
        </w:tblPrEx>
        <w:trPr>
          <w:trHeight w:val="301" w:hRule="atLeast"/>
        </w:trPr>
        <w:tc>
          <w:tcPr>
            <w:tcW w:w="1389" w:type="dxa"/>
            <w:tcBorders>
              <w:top w:val="single" w:color="auto" w:sz="4" w:space="0"/>
            </w:tcBorders>
            <w:noWrap/>
            <w:vAlign w:val="center"/>
          </w:tcPr>
          <w:p w14:paraId="16E8C011">
            <w:pPr>
              <w:jc w:val="left"/>
              <w:textAlignment w:val="center"/>
              <w:rPr>
                <w:rFonts w:hint="default" w:ascii="Times New Roman" w:hAnsi="Times New Roman" w:cs="Times New Roman"/>
                <w:sz w:val="20"/>
                <w:szCs w:val="20"/>
              </w:rPr>
            </w:pPr>
            <w:r>
              <w:rPr>
                <w:rFonts w:hint="default" w:ascii="Times New Roman" w:hAnsi="Times New Roman" w:cs="Times New Roman"/>
                <w:b/>
                <w:bCs/>
                <w:sz w:val="20"/>
                <w:szCs w:val="20"/>
                <w:lang w:bidi="ar"/>
              </w:rPr>
              <w:t>GQS</w:t>
            </w:r>
          </w:p>
        </w:tc>
        <w:tc>
          <w:tcPr>
            <w:tcW w:w="587" w:type="dxa"/>
            <w:tcBorders>
              <w:top w:val="single" w:color="auto" w:sz="4" w:space="0"/>
            </w:tcBorders>
            <w:noWrap/>
            <w:vAlign w:val="center"/>
          </w:tcPr>
          <w:p w14:paraId="7A1CF7DB">
            <w:pPr>
              <w:jc w:val="center"/>
              <w:rPr>
                <w:rFonts w:hint="default" w:ascii="Times New Roman" w:hAnsi="Times New Roman" w:cs="Times New Roman"/>
                <w:sz w:val="20"/>
                <w:szCs w:val="20"/>
              </w:rPr>
            </w:pPr>
          </w:p>
        </w:tc>
        <w:tc>
          <w:tcPr>
            <w:tcW w:w="560" w:type="dxa"/>
            <w:tcBorders>
              <w:top w:val="single" w:color="auto" w:sz="4" w:space="0"/>
            </w:tcBorders>
            <w:noWrap/>
            <w:vAlign w:val="center"/>
          </w:tcPr>
          <w:p w14:paraId="445D88CA">
            <w:pPr>
              <w:jc w:val="center"/>
              <w:rPr>
                <w:rFonts w:hint="default" w:ascii="Times New Roman" w:hAnsi="Times New Roman" w:cs="Times New Roman"/>
                <w:sz w:val="20"/>
                <w:szCs w:val="20"/>
              </w:rPr>
            </w:pPr>
          </w:p>
        </w:tc>
        <w:tc>
          <w:tcPr>
            <w:tcW w:w="731" w:type="dxa"/>
            <w:tcBorders>
              <w:top w:val="single" w:color="auto" w:sz="4" w:space="0"/>
            </w:tcBorders>
            <w:noWrap/>
            <w:vAlign w:val="center"/>
          </w:tcPr>
          <w:p w14:paraId="53558D84">
            <w:pPr>
              <w:jc w:val="center"/>
              <w:rPr>
                <w:rFonts w:hint="default" w:ascii="Times New Roman" w:hAnsi="Times New Roman" w:cs="Times New Roman"/>
                <w:sz w:val="20"/>
                <w:szCs w:val="20"/>
              </w:rPr>
            </w:pPr>
          </w:p>
        </w:tc>
        <w:tc>
          <w:tcPr>
            <w:tcW w:w="515" w:type="dxa"/>
            <w:tcBorders>
              <w:top w:val="single" w:color="auto" w:sz="4" w:space="0"/>
            </w:tcBorders>
            <w:noWrap/>
            <w:vAlign w:val="center"/>
          </w:tcPr>
          <w:p w14:paraId="1422DC85">
            <w:pPr>
              <w:jc w:val="center"/>
              <w:rPr>
                <w:rFonts w:hint="default" w:ascii="Times New Roman" w:hAnsi="Times New Roman" w:cs="Times New Roman"/>
                <w:sz w:val="20"/>
                <w:szCs w:val="20"/>
              </w:rPr>
            </w:pPr>
          </w:p>
        </w:tc>
        <w:tc>
          <w:tcPr>
            <w:tcW w:w="704" w:type="dxa"/>
            <w:tcBorders>
              <w:top w:val="single" w:color="auto" w:sz="4" w:space="0"/>
            </w:tcBorders>
            <w:noWrap/>
            <w:vAlign w:val="center"/>
          </w:tcPr>
          <w:p w14:paraId="18728C72">
            <w:pPr>
              <w:jc w:val="center"/>
              <w:rPr>
                <w:rFonts w:hint="default" w:ascii="Times New Roman" w:hAnsi="Times New Roman" w:cs="Times New Roman"/>
                <w:sz w:val="20"/>
                <w:szCs w:val="20"/>
              </w:rPr>
            </w:pPr>
          </w:p>
        </w:tc>
        <w:tc>
          <w:tcPr>
            <w:tcW w:w="464" w:type="dxa"/>
            <w:tcBorders>
              <w:top w:val="single" w:color="auto" w:sz="4" w:space="0"/>
            </w:tcBorders>
            <w:noWrap/>
            <w:vAlign w:val="center"/>
          </w:tcPr>
          <w:p w14:paraId="7D82B8BE">
            <w:pPr>
              <w:jc w:val="center"/>
              <w:rPr>
                <w:rFonts w:hint="default" w:ascii="Times New Roman" w:hAnsi="Times New Roman" w:cs="Times New Roman"/>
                <w:sz w:val="20"/>
                <w:szCs w:val="20"/>
              </w:rPr>
            </w:pPr>
          </w:p>
        </w:tc>
        <w:tc>
          <w:tcPr>
            <w:tcW w:w="736" w:type="dxa"/>
            <w:tcBorders>
              <w:top w:val="single" w:color="auto" w:sz="4" w:space="0"/>
            </w:tcBorders>
            <w:noWrap/>
            <w:vAlign w:val="center"/>
          </w:tcPr>
          <w:p w14:paraId="1AF64E3B">
            <w:pPr>
              <w:jc w:val="center"/>
              <w:rPr>
                <w:rFonts w:hint="default" w:ascii="Times New Roman" w:hAnsi="Times New Roman" w:cs="Times New Roman"/>
                <w:sz w:val="20"/>
                <w:szCs w:val="20"/>
              </w:rPr>
            </w:pPr>
          </w:p>
        </w:tc>
        <w:tc>
          <w:tcPr>
            <w:tcW w:w="561" w:type="dxa"/>
            <w:tcBorders>
              <w:top w:val="single" w:color="auto" w:sz="4" w:space="0"/>
            </w:tcBorders>
            <w:noWrap/>
            <w:vAlign w:val="center"/>
          </w:tcPr>
          <w:p w14:paraId="7623F4FD">
            <w:pPr>
              <w:jc w:val="center"/>
              <w:rPr>
                <w:rFonts w:hint="default" w:ascii="Times New Roman" w:hAnsi="Times New Roman" w:cs="Times New Roman"/>
                <w:sz w:val="20"/>
                <w:szCs w:val="20"/>
              </w:rPr>
            </w:pPr>
          </w:p>
        </w:tc>
        <w:tc>
          <w:tcPr>
            <w:tcW w:w="574" w:type="dxa"/>
            <w:tcBorders>
              <w:top w:val="single" w:color="auto" w:sz="4" w:space="0"/>
            </w:tcBorders>
            <w:noWrap/>
            <w:vAlign w:val="center"/>
          </w:tcPr>
          <w:p w14:paraId="5C7A79A8">
            <w:pPr>
              <w:jc w:val="center"/>
              <w:rPr>
                <w:rFonts w:hint="default" w:ascii="Times New Roman" w:hAnsi="Times New Roman" w:cs="Times New Roman"/>
                <w:sz w:val="20"/>
                <w:szCs w:val="20"/>
              </w:rPr>
            </w:pPr>
          </w:p>
        </w:tc>
        <w:tc>
          <w:tcPr>
            <w:tcW w:w="750" w:type="dxa"/>
            <w:tcBorders>
              <w:top w:val="single" w:color="auto" w:sz="4" w:space="0"/>
            </w:tcBorders>
            <w:noWrap/>
            <w:vAlign w:val="center"/>
          </w:tcPr>
          <w:p w14:paraId="619A03A9">
            <w:pPr>
              <w:jc w:val="center"/>
              <w:rPr>
                <w:rFonts w:hint="default" w:ascii="Times New Roman" w:hAnsi="Times New Roman" w:cs="Times New Roman"/>
                <w:sz w:val="20"/>
                <w:szCs w:val="20"/>
              </w:rPr>
            </w:pPr>
          </w:p>
        </w:tc>
        <w:tc>
          <w:tcPr>
            <w:tcW w:w="529" w:type="dxa"/>
            <w:tcBorders>
              <w:top w:val="single" w:color="auto" w:sz="4" w:space="0"/>
            </w:tcBorders>
            <w:noWrap/>
            <w:vAlign w:val="center"/>
          </w:tcPr>
          <w:p w14:paraId="6C8B5E3B">
            <w:pPr>
              <w:jc w:val="center"/>
              <w:rPr>
                <w:rFonts w:hint="default" w:ascii="Times New Roman" w:hAnsi="Times New Roman" w:cs="Times New Roman"/>
                <w:sz w:val="20"/>
                <w:szCs w:val="20"/>
              </w:rPr>
            </w:pPr>
          </w:p>
        </w:tc>
        <w:tc>
          <w:tcPr>
            <w:tcW w:w="710" w:type="dxa"/>
            <w:tcBorders>
              <w:top w:val="single" w:color="auto" w:sz="4" w:space="0"/>
            </w:tcBorders>
            <w:noWrap/>
            <w:vAlign w:val="center"/>
          </w:tcPr>
          <w:p w14:paraId="39AAF698">
            <w:pPr>
              <w:jc w:val="center"/>
              <w:rPr>
                <w:rFonts w:hint="default" w:ascii="Times New Roman" w:hAnsi="Times New Roman" w:cs="Times New Roman"/>
                <w:sz w:val="20"/>
                <w:szCs w:val="20"/>
              </w:rPr>
            </w:pPr>
          </w:p>
        </w:tc>
        <w:tc>
          <w:tcPr>
            <w:tcW w:w="503" w:type="dxa"/>
            <w:tcBorders>
              <w:top w:val="single" w:color="auto" w:sz="4" w:space="0"/>
            </w:tcBorders>
            <w:noWrap/>
            <w:vAlign w:val="center"/>
          </w:tcPr>
          <w:p w14:paraId="6EC2F41E">
            <w:pPr>
              <w:jc w:val="center"/>
              <w:rPr>
                <w:rFonts w:hint="default" w:ascii="Times New Roman" w:hAnsi="Times New Roman" w:cs="Times New Roman"/>
                <w:sz w:val="20"/>
                <w:szCs w:val="20"/>
              </w:rPr>
            </w:pPr>
          </w:p>
        </w:tc>
        <w:tc>
          <w:tcPr>
            <w:tcW w:w="757" w:type="dxa"/>
            <w:tcBorders>
              <w:top w:val="single" w:color="auto" w:sz="4" w:space="0"/>
            </w:tcBorders>
            <w:noWrap/>
            <w:vAlign w:val="center"/>
          </w:tcPr>
          <w:p w14:paraId="481C0701">
            <w:pPr>
              <w:jc w:val="center"/>
              <w:rPr>
                <w:rFonts w:hint="default" w:ascii="Times New Roman" w:hAnsi="Times New Roman" w:cs="Times New Roman"/>
                <w:sz w:val="20"/>
                <w:szCs w:val="20"/>
              </w:rPr>
            </w:pPr>
          </w:p>
        </w:tc>
      </w:tr>
      <w:tr w14:paraId="1ABFFE0B">
        <w:tblPrEx>
          <w:tblCellMar>
            <w:top w:w="0" w:type="dxa"/>
            <w:left w:w="108" w:type="dxa"/>
            <w:bottom w:w="0" w:type="dxa"/>
            <w:right w:w="108" w:type="dxa"/>
          </w:tblCellMar>
        </w:tblPrEx>
        <w:trPr>
          <w:trHeight w:val="292" w:hRule="atLeast"/>
        </w:trPr>
        <w:tc>
          <w:tcPr>
            <w:tcW w:w="1389" w:type="dxa"/>
            <w:noWrap/>
            <w:vAlign w:val="center"/>
          </w:tcPr>
          <w:p w14:paraId="6317314A">
            <w:pPr>
              <w:jc w:val="center"/>
              <w:textAlignment w:val="center"/>
              <w:rPr>
                <w:rFonts w:hint="default" w:ascii="Times New Roman" w:hAnsi="Times New Roman" w:cs="Times New Roman"/>
                <w:sz w:val="20"/>
                <w:szCs w:val="20"/>
              </w:rPr>
            </w:pPr>
            <w:r>
              <w:rPr>
                <w:rFonts w:hint="eastAsia" w:ascii="Times New Roman" w:hAnsi="Times New Roman" w:cs="Times New Roman"/>
                <w:sz w:val="20"/>
                <w:szCs w:val="20"/>
                <w:lang w:val="en-US" w:eastAsia="zh-CN" w:bidi="ar"/>
              </w:rPr>
              <w:t>L</w:t>
            </w:r>
            <w:r>
              <w:rPr>
                <w:rFonts w:hint="default" w:ascii="Times New Roman" w:hAnsi="Times New Roman" w:cs="Times New Roman"/>
                <w:sz w:val="20"/>
                <w:szCs w:val="20"/>
                <w:lang w:bidi="ar"/>
              </w:rPr>
              <w:t>ow</w:t>
            </w:r>
          </w:p>
        </w:tc>
        <w:tc>
          <w:tcPr>
            <w:tcW w:w="587" w:type="dxa"/>
            <w:noWrap/>
            <w:vAlign w:val="center"/>
          </w:tcPr>
          <w:p w14:paraId="0BCABF39">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3</w:t>
            </w:r>
          </w:p>
        </w:tc>
        <w:tc>
          <w:tcPr>
            <w:tcW w:w="560" w:type="dxa"/>
            <w:noWrap/>
            <w:vAlign w:val="center"/>
          </w:tcPr>
          <w:p w14:paraId="7C16B14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w:t>
            </w:r>
          </w:p>
        </w:tc>
        <w:tc>
          <w:tcPr>
            <w:tcW w:w="731" w:type="dxa"/>
            <w:noWrap/>
            <w:vAlign w:val="center"/>
          </w:tcPr>
          <w:p w14:paraId="0D9C5DF2">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0.003</w:t>
            </w:r>
          </w:p>
        </w:tc>
        <w:tc>
          <w:tcPr>
            <w:tcW w:w="515" w:type="dxa"/>
            <w:noWrap/>
            <w:vAlign w:val="center"/>
          </w:tcPr>
          <w:p w14:paraId="42CCBC58">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704" w:type="dxa"/>
            <w:noWrap/>
            <w:vAlign w:val="center"/>
          </w:tcPr>
          <w:p w14:paraId="436254FC">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464" w:type="dxa"/>
            <w:noWrap/>
            <w:vAlign w:val="center"/>
          </w:tcPr>
          <w:p w14:paraId="2E63194C">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736" w:type="dxa"/>
            <w:noWrap/>
            <w:vAlign w:val="center"/>
          </w:tcPr>
          <w:p w14:paraId="2ACE329B">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0.321</w:t>
            </w:r>
          </w:p>
        </w:tc>
        <w:tc>
          <w:tcPr>
            <w:tcW w:w="561" w:type="dxa"/>
            <w:noWrap/>
            <w:vAlign w:val="center"/>
          </w:tcPr>
          <w:p w14:paraId="43782E6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574" w:type="dxa"/>
            <w:noWrap/>
            <w:vAlign w:val="center"/>
          </w:tcPr>
          <w:p w14:paraId="749964A2">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750" w:type="dxa"/>
            <w:noWrap/>
            <w:vAlign w:val="center"/>
          </w:tcPr>
          <w:p w14:paraId="3BB689AC">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0.390</w:t>
            </w:r>
          </w:p>
        </w:tc>
        <w:tc>
          <w:tcPr>
            <w:tcW w:w="529" w:type="dxa"/>
            <w:noWrap/>
            <w:vAlign w:val="center"/>
          </w:tcPr>
          <w:p w14:paraId="64CC57D6">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710" w:type="dxa"/>
            <w:noWrap/>
            <w:vAlign w:val="center"/>
          </w:tcPr>
          <w:p w14:paraId="0E528A1B">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503" w:type="dxa"/>
            <w:noWrap/>
            <w:vAlign w:val="center"/>
          </w:tcPr>
          <w:p w14:paraId="0F88EDB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757" w:type="dxa"/>
            <w:noWrap/>
            <w:vAlign w:val="center"/>
          </w:tcPr>
          <w:p w14:paraId="1314A9B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0.023</w:t>
            </w:r>
          </w:p>
        </w:tc>
      </w:tr>
      <w:tr w14:paraId="1A3643CA">
        <w:tblPrEx>
          <w:tblCellMar>
            <w:top w:w="0" w:type="dxa"/>
            <w:left w:w="108" w:type="dxa"/>
            <w:bottom w:w="0" w:type="dxa"/>
            <w:right w:w="108" w:type="dxa"/>
          </w:tblCellMar>
        </w:tblPrEx>
        <w:trPr>
          <w:trHeight w:val="292" w:hRule="atLeast"/>
        </w:trPr>
        <w:tc>
          <w:tcPr>
            <w:tcW w:w="1389" w:type="dxa"/>
            <w:noWrap/>
            <w:vAlign w:val="center"/>
          </w:tcPr>
          <w:p w14:paraId="5281ABAF">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Middle</w:t>
            </w:r>
          </w:p>
        </w:tc>
        <w:tc>
          <w:tcPr>
            <w:tcW w:w="587" w:type="dxa"/>
            <w:noWrap/>
            <w:vAlign w:val="center"/>
          </w:tcPr>
          <w:p w14:paraId="53A4418C">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4</w:t>
            </w:r>
          </w:p>
        </w:tc>
        <w:tc>
          <w:tcPr>
            <w:tcW w:w="560" w:type="dxa"/>
            <w:noWrap/>
            <w:vAlign w:val="center"/>
          </w:tcPr>
          <w:p w14:paraId="5F73840E">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17</w:t>
            </w:r>
          </w:p>
        </w:tc>
        <w:tc>
          <w:tcPr>
            <w:tcW w:w="731" w:type="dxa"/>
            <w:noWrap/>
            <w:vAlign w:val="center"/>
          </w:tcPr>
          <w:p w14:paraId="6D9DF203">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0.142</w:t>
            </w:r>
          </w:p>
        </w:tc>
        <w:tc>
          <w:tcPr>
            <w:tcW w:w="515" w:type="dxa"/>
          </w:tcPr>
          <w:p w14:paraId="5F5A50A1">
            <w:pPr>
              <w:jc w:val="center"/>
              <w:textAlignment w:val="top"/>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3</w:t>
            </w:r>
          </w:p>
        </w:tc>
        <w:tc>
          <w:tcPr>
            <w:tcW w:w="704" w:type="dxa"/>
          </w:tcPr>
          <w:p w14:paraId="26D40DED">
            <w:pPr>
              <w:jc w:val="center"/>
              <w:textAlignment w:val="top"/>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10</w:t>
            </w:r>
          </w:p>
        </w:tc>
        <w:tc>
          <w:tcPr>
            <w:tcW w:w="464" w:type="dxa"/>
          </w:tcPr>
          <w:p w14:paraId="302703FB">
            <w:pPr>
              <w:jc w:val="center"/>
              <w:textAlignment w:val="top"/>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8</w:t>
            </w:r>
          </w:p>
        </w:tc>
        <w:tc>
          <w:tcPr>
            <w:tcW w:w="736" w:type="dxa"/>
            <w:noWrap/>
            <w:vAlign w:val="center"/>
          </w:tcPr>
          <w:p w14:paraId="63D08794">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0.210</w:t>
            </w:r>
          </w:p>
        </w:tc>
        <w:tc>
          <w:tcPr>
            <w:tcW w:w="561" w:type="dxa"/>
            <w:noWrap/>
            <w:vAlign w:val="center"/>
          </w:tcPr>
          <w:p w14:paraId="51EE18F9">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574" w:type="dxa"/>
            <w:noWrap/>
            <w:vAlign w:val="center"/>
          </w:tcPr>
          <w:p w14:paraId="3640EAFD">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750" w:type="dxa"/>
            <w:noWrap/>
            <w:vAlign w:val="center"/>
          </w:tcPr>
          <w:p w14:paraId="7383C047">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0.785</w:t>
            </w:r>
          </w:p>
        </w:tc>
        <w:tc>
          <w:tcPr>
            <w:tcW w:w="529" w:type="dxa"/>
            <w:noWrap/>
            <w:vAlign w:val="center"/>
          </w:tcPr>
          <w:p w14:paraId="207451DD">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w:t>
            </w:r>
          </w:p>
        </w:tc>
        <w:tc>
          <w:tcPr>
            <w:tcW w:w="710" w:type="dxa"/>
            <w:noWrap/>
            <w:vAlign w:val="center"/>
          </w:tcPr>
          <w:p w14:paraId="29755EAF">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w:t>
            </w:r>
          </w:p>
        </w:tc>
        <w:tc>
          <w:tcPr>
            <w:tcW w:w="503" w:type="dxa"/>
            <w:noWrap/>
            <w:vAlign w:val="center"/>
          </w:tcPr>
          <w:p w14:paraId="16BE196C">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757" w:type="dxa"/>
            <w:noWrap/>
            <w:vAlign w:val="center"/>
          </w:tcPr>
          <w:p w14:paraId="15E20068">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0.263</w:t>
            </w:r>
          </w:p>
        </w:tc>
      </w:tr>
      <w:tr w14:paraId="7C497C90">
        <w:tblPrEx>
          <w:tblCellMar>
            <w:top w:w="0" w:type="dxa"/>
            <w:left w:w="108" w:type="dxa"/>
            <w:bottom w:w="0" w:type="dxa"/>
            <w:right w:w="108" w:type="dxa"/>
          </w:tblCellMar>
        </w:tblPrEx>
        <w:trPr>
          <w:trHeight w:val="292" w:hRule="atLeast"/>
        </w:trPr>
        <w:tc>
          <w:tcPr>
            <w:tcW w:w="1389" w:type="dxa"/>
            <w:noWrap/>
            <w:vAlign w:val="center"/>
          </w:tcPr>
          <w:p w14:paraId="2ED36417">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High</w:t>
            </w:r>
          </w:p>
        </w:tc>
        <w:tc>
          <w:tcPr>
            <w:tcW w:w="587" w:type="dxa"/>
            <w:noWrap/>
            <w:vAlign w:val="center"/>
          </w:tcPr>
          <w:p w14:paraId="7EB399AC">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1</w:t>
            </w:r>
          </w:p>
        </w:tc>
        <w:tc>
          <w:tcPr>
            <w:tcW w:w="560" w:type="dxa"/>
            <w:noWrap/>
            <w:vAlign w:val="center"/>
          </w:tcPr>
          <w:p w14:paraId="4B1B5B16">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56</w:t>
            </w:r>
          </w:p>
        </w:tc>
        <w:tc>
          <w:tcPr>
            <w:tcW w:w="731" w:type="dxa"/>
            <w:noWrap/>
            <w:vAlign w:val="center"/>
          </w:tcPr>
          <w:p w14:paraId="738241B7">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0.041</w:t>
            </w:r>
          </w:p>
        </w:tc>
        <w:tc>
          <w:tcPr>
            <w:tcW w:w="515" w:type="dxa"/>
            <w:noWrap/>
            <w:vAlign w:val="center"/>
          </w:tcPr>
          <w:p w14:paraId="67200ACE">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18</w:t>
            </w:r>
          </w:p>
        </w:tc>
        <w:tc>
          <w:tcPr>
            <w:tcW w:w="704" w:type="dxa"/>
            <w:noWrap/>
            <w:vAlign w:val="center"/>
          </w:tcPr>
          <w:p w14:paraId="534B6E75">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30</w:t>
            </w:r>
          </w:p>
        </w:tc>
        <w:tc>
          <w:tcPr>
            <w:tcW w:w="464" w:type="dxa"/>
            <w:noWrap/>
            <w:vAlign w:val="center"/>
          </w:tcPr>
          <w:p w14:paraId="0FD94E61">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9</w:t>
            </w:r>
          </w:p>
        </w:tc>
        <w:tc>
          <w:tcPr>
            <w:tcW w:w="736" w:type="dxa"/>
            <w:noWrap/>
            <w:vAlign w:val="center"/>
          </w:tcPr>
          <w:p w14:paraId="1EA0AAD8">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0.341</w:t>
            </w:r>
          </w:p>
        </w:tc>
        <w:tc>
          <w:tcPr>
            <w:tcW w:w="561" w:type="dxa"/>
            <w:noWrap/>
            <w:vAlign w:val="center"/>
          </w:tcPr>
          <w:p w14:paraId="14C6DE83">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15</w:t>
            </w:r>
          </w:p>
        </w:tc>
        <w:tc>
          <w:tcPr>
            <w:tcW w:w="574" w:type="dxa"/>
            <w:noWrap/>
            <w:vAlign w:val="center"/>
          </w:tcPr>
          <w:p w14:paraId="2C530A5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22</w:t>
            </w:r>
          </w:p>
        </w:tc>
        <w:tc>
          <w:tcPr>
            <w:tcW w:w="750" w:type="dxa"/>
            <w:noWrap/>
            <w:vAlign w:val="center"/>
          </w:tcPr>
          <w:p w14:paraId="08C0F278">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0.576</w:t>
            </w:r>
          </w:p>
        </w:tc>
        <w:tc>
          <w:tcPr>
            <w:tcW w:w="529" w:type="dxa"/>
            <w:noWrap/>
            <w:vAlign w:val="center"/>
          </w:tcPr>
          <w:p w14:paraId="6D229BE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26</w:t>
            </w:r>
          </w:p>
        </w:tc>
        <w:tc>
          <w:tcPr>
            <w:tcW w:w="710" w:type="dxa"/>
            <w:noWrap/>
            <w:vAlign w:val="center"/>
          </w:tcPr>
          <w:p w14:paraId="63C4544B">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6</w:t>
            </w:r>
          </w:p>
        </w:tc>
        <w:tc>
          <w:tcPr>
            <w:tcW w:w="503" w:type="dxa"/>
            <w:noWrap/>
            <w:vAlign w:val="center"/>
          </w:tcPr>
          <w:p w14:paraId="7DE2BDD9">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5</w:t>
            </w:r>
          </w:p>
        </w:tc>
        <w:tc>
          <w:tcPr>
            <w:tcW w:w="757" w:type="dxa"/>
            <w:noWrap/>
            <w:vAlign w:val="center"/>
          </w:tcPr>
          <w:p w14:paraId="7E9A30A7">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0.514</w:t>
            </w:r>
          </w:p>
        </w:tc>
      </w:tr>
      <w:tr w14:paraId="6018F1EE">
        <w:tblPrEx>
          <w:tblCellMar>
            <w:top w:w="0" w:type="dxa"/>
            <w:left w:w="108" w:type="dxa"/>
            <w:bottom w:w="0" w:type="dxa"/>
            <w:right w:w="108" w:type="dxa"/>
          </w:tblCellMar>
        </w:tblPrEx>
        <w:trPr>
          <w:trHeight w:val="584" w:hRule="atLeast"/>
        </w:trPr>
        <w:tc>
          <w:tcPr>
            <w:tcW w:w="1389" w:type="dxa"/>
            <w:noWrap/>
            <w:vAlign w:val="center"/>
          </w:tcPr>
          <w:p w14:paraId="2A3C90EE">
            <w:pPr>
              <w:jc w:val="left"/>
              <w:textAlignment w:val="center"/>
              <w:rPr>
                <w:rFonts w:hint="default" w:ascii="Times New Roman" w:hAnsi="Times New Roman" w:cs="Times New Roman"/>
                <w:sz w:val="20"/>
                <w:szCs w:val="20"/>
              </w:rPr>
            </w:pPr>
            <w:r>
              <w:rPr>
                <w:rFonts w:hint="default" w:ascii="Times New Roman" w:hAnsi="Times New Roman" w:cs="Times New Roman"/>
                <w:b/>
                <w:bCs/>
                <w:sz w:val="20"/>
                <w:szCs w:val="20"/>
                <w:lang w:bidi="ar"/>
              </w:rPr>
              <w:t>mDISCERN</w:t>
            </w:r>
          </w:p>
        </w:tc>
        <w:tc>
          <w:tcPr>
            <w:tcW w:w="587" w:type="dxa"/>
            <w:noWrap/>
            <w:vAlign w:val="center"/>
          </w:tcPr>
          <w:p w14:paraId="7090D499">
            <w:pPr>
              <w:jc w:val="center"/>
              <w:rPr>
                <w:rFonts w:hint="default" w:ascii="Times New Roman" w:hAnsi="Times New Roman" w:cs="Times New Roman"/>
                <w:sz w:val="20"/>
                <w:szCs w:val="20"/>
              </w:rPr>
            </w:pPr>
          </w:p>
        </w:tc>
        <w:tc>
          <w:tcPr>
            <w:tcW w:w="560" w:type="dxa"/>
            <w:noWrap/>
            <w:vAlign w:val="center"/>
          </w:tcPr>
          <w:p w14:paraId="7F38DF20">
            <w:pPr>
              <w:jc w:val="center"/>
              <w:rPr>
                <w:rFonts w:hint="default" w:ascii="Times New Roman" w:hAnsi="Times New Roman" w:cs="Times New Roman"/>
                <w:b w:val="0"/>
                <w:bCs w:val="0"/>
                <w:sz w:val="20"/>
                <w:szCs w:val="20"/>
              </w:rPr>
            </w:pPr>
          </w:p>
        </w:tc>
        <w:tc>
          <w:tcPr>
            <w:tcW w:w="731" w:type="dxa"/>
            <w:noWrap/>
            <w:vAlign w:val="center"/>
          </w:tcPr>
          <w:p w14:paraId="43D4BE0B">
            <w:pPr>
              <w:jc w:val="center"/>
              <w:rPr>
                <w:rFonts w:hint="default" w:ascii="Times New Roman" w:hAnsi="Times New Roman" w:cs="Times New Roman"/>
                <w:b w:val="0"/>
                <w:bCs w:val="0"/>
                <w:sz w:val="20"/>
                <w:szCs w:val="20"/>
              </w:rPr>
            </w:pPr>
          </w:p>
        </w:tc>
        <w:tc>
          <w:tcPr>
            <w:tcW w:w="515" w:type="dxa"/>
            <w:noWrap/>
            <w:vAlign w:val="center"/>
          </w:tcPr>
          <w:p w14:paraId="538B89BB">
            <w:pPr>
              <w:jc w:val="center"/>
              <w:rPr>
                <w:rFonts w:hint="default" w:ascii="Times New Roman" w:hAnsi="Times New Roman" w:cs="Times New Roman"/>
                <w:b w:val="0"/>
                <w:bCs w:val="0"/>
                <w:sz w:val="20"/>
                <w:szCs w:val="20"/>
              </w:rPr>
            </w:pPr>
          </w:p>
        </w:tc>
        <w:tc>
          <w:tcPr>
            <w:tcW w:w="704" w:type="dxa"/>
            <w:noWrap/>
            <w:vAlign w:val="center"/>
          </w:tcPr>
          <w:p w14:paraId="2B2FADB1">
            <w:pPr>
              <w:jc w:val="center"/>
              <w:rPr>
                <w:rFonts w:hint="default" w:ascii="Times New Roman" w:hAnsi="Times New Roman" w:cs="Times New Roman"/>
                <w:b w:val="0"/>
                <w:bCs w:val="0"/>
                <w:sz w:val="20"/>
                <w:szCs w:val="20"/>
              </w:rPr>
            </w:pPr>
          </w:p>
        </w:tc>
        <w:tc>
          <w:tcPr>
            <w:tcW w:w="464" w:type="dxa"/>
            <w:noWrap/>
            <w:vAlign w:val="center"/>
          </w:tcPr>
          <w:p w14:paraId="5F272236">
            <w:pPr>
              <w:jc w:val="center"/>
              <w:rPr>
                <w:rFonts w:hint="default" w:ascii="Times New Roman" w:hAnsi="Times New Roman" w:cs="Times New Roman"/>
                <w:b w:val="0"/>
                <w:bCs w:val="0"/>
                <w:sz w:val="20"/>
                <w:szCs w:val="20"/>
              </w:rPr>
            </w:pPr>
          </w:p>
        </w:tc>
        <w:tc>
          <w:tcPr>
            <w:tcW w:w="736" w:type="dxa"/>
            <w:noWrap/>
            <w:vAlign w:val="center"/>
          </w:tcPr>
          <w:p w14:paraId="7B585352">
            <w:pPr>
              <w:jc w:val="center"/>
              <w:rPr>
                <w:rFonts w:hint="default" w:ascii="Times New Roman" w:hAnsi="Times New Roman" w:cs="Times New Roman"/>
                <w:b w:val="0"/>
                <w:bCs w:val="0"/>
                <w:sz w:val="20"/>
                <w:szCs w:val="20"/>
              </w:rPr>
            </w:pPr>
          </w:p>
        </w:tc>
        <w:tc>
          <w:tcPr>
            <w:tcW w:w="561" w:type="dxa"/>
            <w:noWrap/>
            <w:vAlign w:val="center"/>
          </w:tcPr>
          <w:p w14:paraId="06816B9A">
            <w:pPr>
              <w:jc w:val="center"/>
              <w:rPr>
                <w:rFonts w:hint="default" w:ascii="Times New Roman" w:hAnsi="Times New Roman" w:cs="Times New Roman"/>
                <w:b w:val="0"/>
                <w:bCs w:val="0"/>
                <w:sz w:val="20"/>
                <w:szCs w:val="20"/>
              </w:rPr>
            </w:pPr>
          </w:p>
        </w:tc>
        <w:tc>
          <w:tcPr>
            <w:tcW w:w="574" w:type="dxa"/>
            <w:noWrap/>
            <w:vAlign w:val="center"/>
          </w:tcPr>
          <w:p w14:paraId="2E099B55">
            <w:pPr>
              <w:jc w:val="center"/>
              <w:rPr>
                <w:rFonts w:hint="default" w:ascii="Times New Roman" w:hAnsi="Times New Roman" w:cs="Times New Roman"/>
                <w:b w:val="0"/>
                <w:bCs w:val="0"/>
                <w:sz w:val="20"/>
                <w:szCs w:val="20"/>
              </w:rPr>
            </w:pPr>
          </w:p>
        </w:tc>
        <w:tc>
          <w:tcPr>
            <w:tcW w:w="750" w:type="dxa"/>
            <w:noWrap/>
            <w:vAlign w:val="center"/>
          </w:tcPr>
          <w:p w14:paraId="4198E20C">
            <w:pPr>
              <w:jc w:val="center"/>
              <w:rPr>
                <w:rFonts w:hint="default" w:ascii="Times New Roman" w:hAnsi="Times New Roman" w:cs="Times New Roman"/>
                <w:b w:val="0"/>
                <w:bCs w:val="0"/>
                <w:sz w:val="20"/>
                <w:szCs w:val="20"/>
              </w:rPr>
            </w:pPr>
          </w:p>
        </w:tc>
        <w:tc>
          <w:tcPr>
            <w:tcW w:w="529" w:type="dxa"/>
            <w:noWrap/>
            <w:vAlign w:val="center"/>
          </w:tcPr>
          <w:p w14:paraId="2124BBDB">
            <w:pPr>
              <w:jc w:val="center"/>
              <w:rPr>
                <w:rFonts w:hint="default" w:ascii="Times New Roman" w:hAnsi="Times New Roman" w:cs="Times New Roman"/>
                <w:b w:val="0"/>
                <w:bCs w:val="0"/>
                <w:sz w:val="20"/>
                <w:szCs w:val="20"/>
              </w:rPr>
            </w:pPr>
          </w:p>
        </w:tc>
        <w:tc>
          <w:tcPr>
            <w:tcW w:w="710" w:type="dxa"/>
            <w:noWrap/>
            <w:vAlign w:val="center"/>
          </w:tcPr>
          <w:p w14:paraId="19477DB4">
            <w:pPr>
              <w:jc w:val="center"/>
              <w:rPr>
                <w:rFonts w:hint="default" w:ascii="Times New Roman" w:hAnsi="Times New Roman" w:cs="Times New Roman"/>
                <w:b w:val="0"/>
                <w:bCs w:val="0"/>
                <w:sz w:val="20"/>
                <w:szCs w:val="20"/>
              </w:rPr>
            </w:pPr>
          </w:p>
        </w:tc>
        <w:tc>
          <w:tcPr>
            <w:tcW w:w="503" w:type="dxa"/>
            <w:noWrap/>
            <w:vAlign w:val="center"/>
          </w:tcPr>
          <w:p w14:paraId="66AE1E42">
            <w:pPr>
              <w:jc w:val="center"/>
              <w:rPr>
                <w:rFonts w:hint="default" w:ascii="Times New Roman" w:hAnsi="Times New Roman" w:cs="Times New Roman"/>
                <w:b w:val="0"/>
                <w:bCs w:val="0"/>
                <w:sz w:val="20"/>
                <w:szCs w:val="20"/>
              </w:rPr>
            </w:pPr>
          </w:p>
        </w:tc>
        <w:tc>
          <w:tcPr>
            <w:tcW w:w="757" w:type="dxa"/>
            <w:noWrap/>
            <w:vAlign w:val="center"/>
          </w:tcPr>
          <w:p w14:paraId="40CBA8D6">
            <w:pPr>
              <w:jc w:val="center"/>
              <w:rPr>
                <w:rFonts w:hint="default" w:ascii="Times New Roman" w:hAnsi="Times New Roman" w:cs="Times New Roman"/>
                <w:b w:val="0"/>
                <w:bCs w:val="0"/>
                <w:sz w:val="20"/>
                <w:szCs w:val="20"/>
              </w:rPr>
            </w:pPr>
          </w:p>
        </w:tc>
      </w:tr>
      <w:tr w14:paraId="437B6EB6">
        <w:tblPrEx>
          <w:tblCellMar>
            <w:top w:w="0" w:type="dxa"/>
            <w:left w:w="108" w:type="dxa"/>
            <w:bottom w:w="0" w:type="dxa"/>
            <w:right w:w="108" w:type="dxa"/>
          </w:tblCellMar>
        </w:tblPrEx>
        <w:trPr>
          <w:trHeight w:val="292" w:hRule="atLeast"/>
        </w:trPr>
        <w:tc>
          <w:tcPr>
            <w:tcW w:w="1389" w:type="dxa"/>
            <w:noWrap/>
            <w:vAlign w:val="center"/>
          </w:tcPr>
          <w:p w14:paraId="38062FA6">
            <w:pPr>
              <w:jc w:val="center"/>
              <w:textAlignment w:val="center"/>
              <w:rPr>
                <w:rFonts w:hint="default" w:ascii="Times New Roman" w:hAnsi="Times New Roman" w:cs="Times New Roman"/>
                <w:sz w:val="20"/>
                <w:szCs w:val="20"/>
              </w:rPr>
            </w:pPr>
            <w:r>
              <w:rPr>
                <w:rFonts w:hint="eastAsia" w:ascii="Times New Roman" w:hAnsi="Times New Roman" w:cs="Times New Roman"/>
                <w:sz w:val="20"/>
                <w:szCs w:val="20"/>
                <w:lang w:val="en-US" w:eastAsia="zh-CN" w:bidi="ar"/>
              </w:rPr>
              <w:t>L</w:t>
            </w:r>
            <w:r>
              <w:rPr>
                <w:rFonts w:hint="default" w:ascii="Times New Roman" w:hAnsi="Times New Roman" w:cs="Times New Roman"/>
                <w:sz w:val="20"/>
                <w:szCs w:val="20"/>
                <w:lang w:bidi="ar"/>
              </w:rPr>
              <w:t>ow</w:t>
            </w:r>
          </w:p>
        </w:tc>
        <w:tc>
          <w:tcPr>
            <w:tcW w:w="587" w:type="dxa"/>
            <w:noWrap/>
            <w:vAlign w:val="center"/>
          </w:tcPr>
          <w:p w14:paraId="605EB444">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1</w:t>
            </w:r>
          </w:p>
        </w:tc>
        <w:tc>
          <w:tcPr>
            <w:tcW w:w="560" w:type="dxa"/>
            <w:noWrap/>
            <w:vAlign w:val="center"/>
          </w:tcPr>
          <w:p w14:paraId="2C36810D">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731" w:type="dxa"/>
            <w:noWrap/>
            <w:vAlign w:val="center"/>
          </w:tcPr>
          <w:p w14:paraId="42019C3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0.263</w:t>
            </w:r>
          </w:p>
        </w:tc>
        <w:tc>
          <w:tcPr>
            <w:tcW w:w="515" w:type="dxa"/>
            <w:noWrap/>
            <w:vAlign w:val="center"/>
          </w:tcPr>
          <w:p w14:paraId="52D32201">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704" w:type="dxa"/>
            <w:noWrap/>
            <w:vAlign w:val="center"/>
          </w:tcPr>
          <w:p w14:paraId="08CC5E67">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3</w:t>
            </w:r>
          </w:p>
        </w:tc>
        <w:tc>
          <w:tcPr>
            <w:tcW w:w="464" w:type="dxa"/>
            <w:noWrap/>
            <w:vAlign w:val="center"/>
          </w:tcPr>
          <w:p w14:paraId="234E4753">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736" w:type="dxa"/>
            <w:noWrap/>
            <w:vAlign w:val="center"/>
          </w:tcPr>
          <w:p w14:paraId="0D12ED95">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0.258</w:t>
            </w:r>
          </w:p>
        </w:tc>
        <w:tc>
          <w:tcPr>
            <w:tcW w:w="561" w:type="dxa"/>
            <w:noWrap/>
            <w:vAlign w:val="center"/>
          </w:tcPr>
          <w:p w14:paraId="2A3129F9">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574" w:type="dxa"/>
            <w:noWrap/>
            <w:vAlign w:val="center"/>
          </w:tcPr>
          <w:p w14:paraId="3B23FBD1">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750" w:type="dxa"/>
            <w:noWrap/>
            <w:vAlign w:val="center"/>
          </w:tcPr>
          <w:p w14:paraId="6E8049E7">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0.390</w:t>
            </w:r>
          </w:p>
        </w:tc>
        <w:tc>
          <w:tcPr>
            <w:tcW w:w="529" w:type="dxa"/>
            <w:noWrap/>
            <w:vAlign w:val="center"/>
          </w:tcPr>
          <w:p w14:paraId="4AA01FF9">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710" w:type="dxa"/>
            <w:noWrap/>
            <w:vAlign w:val="center"/>
          </w:tcPr>
          <w:p w14:paraId="7BF77370">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503" w:type="dxa"/>
            <w:noWrap/>
            <w:vAlign w:val="center"/>
          </w:tcPr>
          <w:p w14:paraId="5F1483AD">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757" w:type="dxa"/>
            <w:noWrap/>
            <w:vAlign w:val="center"/>
          </w:tcPr>
          <w:p w14:paraId="310C6495">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0.023</w:t>
            </w:r>
          </w:p>
        </w:tc>
      </w:tr>
      <w:tr w14:paraId="2F0A67B8">
        <w:tblPrEx>
          <w:tblCellMar>
            <w:top w:w="0" w:type="dxa"/>
            <w:left w:w="108" w:type="dxa"/>
            <w:bottom w:w="0" w:type="dxa"/>
            <w:right w:w="108" w:type="dxa"/>
          </w:tblCellMar>
        </w:tblPrEx>
        <w:trPr>
          <w:trHeight w:val="584" w:hRule="atLeast"/>
        </w:trPr>
        <w:tc>
          <w:tcPr>
            <w:tcW w:w="1389" w:type="dxa"/>
            <w:noWrap/>
            <w:vAlign w:val="center"/>
          </w:tcPr>
          <w:p w14:paraId="71531A00">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Middle</w:t>
            </w:r>
          </w:p>
        </w:tc>
        <w:tc>
          <w:tcPr>
            <w:tcW w:w="587" w:type="dxa"/>
            <w:noWrap/>
            <w:vAlign w:val="center"/>
          </w:tcPr>
          <w:p w14:paraId="1C1962B2">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7</w:t>
            </w:r>
          </w:p>
        </w:tc>
        <w:tc>
          <w:tcPr>
            <w:tcW w:w="560" w:type="dxa"/>
            <w:noWrap/>
            <w:vAlign w:val="center"/>
          </w:tcPr>
          <w:p w14:paraId="14EC0156">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11</w:t>
            </w:r>
          </w:p>
        </w:tc>
        <w:tc>
          <w:tcPr>
            <w:tcW w:w="731" w:type="dxa"/>
            <w:noWrap/>
            <w:vAlign w:val="center"/>
          </w:tcPr>
          <w:p w14:paraId="3CFBFC56">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＜0.001</w:t>
            </w:r>
          </w:p>
        </w:tc>
        <w:tc>
          <w:tcPr>
            <w:tcW w:w="515" w:type="dxa"/>
            <w:noWrap/>
            <w:vAlign w:val="center"/>
          </w:tcPr>
          <w:p w14:paraId="2A0C3CA5">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w:t>
            </w:r>
          </w:p>
        </w:tc>
        <w:tc>
          <w:tcPr>
            <w:tcW w:w="704" w:type="dxa"/>
            <w:noWrap/>
            <w:vAlign w:val="center"/>
          </w:tcPr>
          <w:p w14:paraId="327F51C5">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9</w:t>
            </w:r>
          </w:p>
        </w:tc>
        <w:tc>
          <w:tcPr>
            <w:tcW w:w="464" w:type="dxa"/>
            <w:noWrap/>
            <w:vAlign w:val="center"/>
          </w:tcPr>
          <w:p w14:paraId="5970C583">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9</w:t>
            </w:r>
          </w:p>
        </w:tc>
        <w:tc>
          <w:tcPr>
            <w:tcW w:w="736" w:type="dxa"/>
            <w:noWrap/>
            <w:vAlign w:val="center"/>
          </w:tcPr>
          <w:p w14:paraId="56560F5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0.006</w:t>
            </w:r>
          </w:p>
        </w:tc>
        <w:tc>
          <w:tcPr>
            <w:tcW w:w="561" w:type="dxa"/>
            <w:noWrap/>
            <w:vAlign w:val="center"/>
          </w:tcPr>
          <w:p w14:paraId="3E97C497">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574" w:type="dxa"/>
            <w:noWrap/>
            <w:vAlign w:val="center"/>
          </w:tcPr>
          <w:p w14:paraId="5F5DA6F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750" w:type="dxa"/>
            <w:noWrap/>
            <w:vAlign w:val="center"/>
          </w:tcPr>
          <w:p w14:paraId="26DBA1A9">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0.785</w:t>
            </w:r>
          </w:p>
        </w:tc>
        <w:tc>
          <w:tcPr>
            <w:tcW w:w="529" w:type="dxa"/>
            <w:noWrap/>
            <w:vAlign w:val="center"/>
          </w:tcPr>
          <w:p w14:paraId="52D585E4">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w:t>
            </w:r>
          </w:p>
        </w:tc>
        <w:tc>
          <w:tcPr>
            <w:tcW w:w="710" w:type="dxa"/>
            <w:noWrap/>
            <w:vAlign w:val="center"/>
          </w:tcPr>
          <w:p w14:paraId="647E7031">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w:t>
            </w:r>
          </w:p>
        </w:tc>
        <w:tc>
          <w:tcPr>
            <w:tcW w:w="503" w:type="dxa"/>
            <w:noWrap/>
            <w:vAlign w:val="center"/>
          </w:tcPr>
          <w:p w14:paraId="61A2E503">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w:t>
            </w:r>
          </w:p>
        </w:tc>
        <w:tc>
          <w:tcPr>
            <w:tcW w:w="757" w:type="dxa"/>
            <w:noWrap/>
            <w:vAlign w:val="center"/>
          </w:tcPr>
          <w:p w14:paraId="41387C6E">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0.263</w:t>
            </w:r>
          </w:p>
        </w:tc>
      </w:tr>
      <w:tr w14:paraId="1002B4CA">
        <w:tblPrEx>
          <w:tblCellMar>
            <w:top w:w="0" w:type="dxa"/>
            <w:left w:w="108" w:type="dxa"/>
            <w:bottom w:w="0" w:type="dxa"/>
            <w:right w:w="108" w:type="dxa"/>
          </w:tblCellMar>
        </w:tblPrEx>
        <w:trPr>
          <w:trHeight w:val="301" w:hRule="atLeast"/>
        </w:trPr>
        <w:tc>
          <w:tcPr>
            <w:tcW w:w="1389" w:type="dxa"/>
            <w:tcBorders>
              <w:bottom w:val="single" w:color="auto" w:sz="4" w:space="0"/>
            </w:tcBorders>
            <w:noWrap/>
            <w:vAlign w:val="center"/>
          </w:tcPr>
          <w:p w14:paraId="3D39DCEE">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High</w:t>
            </w:r>
          </w:p>
        </w:tc>
        <w:tc>
          <w:tcPr>
            <w:tcW w:w="587" w:type="dxa"/>
            <w:tcBorders>
              <w:bottom w:val="single" w:color="auto" w:sz="4" w:space="0"/>
            </w:tcBorders>
            <w:noWrap/>
            <w:vAlign w:val="center"/>
          </w:tcPr>
          <w:p w14:paraId="6FDD5D31">
            <w:pPr>
              <w:jc w:val="center"/>
              <w:textAlignment w:val="center"/>
              <w:rPr>
                <w:rFonts w:hint="default" w:ascii="Times New Roman" w:hAnsi="Times New Roman" w:cs="Times New Roman"/>
                <w:sz w:val="20"/>
                <w:szCs w:val="20"/>
              </w:rPr>
            </w:pPr>
            <w:r>
              <w:rPr>
                <w:rFonts w:hint="default" w:ascii="Times New Roman" w:hAnsi="Times New Roman" w:cs="Times New Roman"/>
                <w:sz w:val="20"/>
                <w:szCs w:val="20"/>
                <w:lang w:bidi="ar"/>
              </w:rPr>
              <w:t>0</w:t>
            </w:r>
          </w:p>
        </w:tc>
        <w:tc>
          <w:tcPr>
            <w:tcW w:w="560" w:type="dxa"/>
            <w:tcBorders>
              <w:bottom w:val="single" w:color="auto" w:sz="4" w:space="0"/>
            </w:tcBorders>
            <w:noWrap/>
            <w:vAlign w:val="center"/>
          </w:tcPr>
          <w:p w14:paraId="1A4D0CA0">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61</w:t>
            </w:r>
          </w:p>
        </w:tc>
        <w:tc>
          <w:tcPr>
            <w:tcW w:w="731" w:type="dxa"/>
            <w:tcBorders>
              <w:bottom w:val="single" w:color="auto" w:sz="4" w:space="0"/>
            </w:tcBorders>
            <w:noWrap/>
            <w:vAlign w:val="center"/>
          </w:tcPr>
          <w:p w14:paraId="18EA184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0.002</w:t>
            </w:r>
          </w:p>
        </w:tc>
        <w:tc>
          <w:tcPr>
            <w:tcW w:w="515" w:type="dxa"/>
            <w:tcBorders>
              <w:bottom w:val="single" w:color="auto" w:sz="4" w:space="0"/>
            </w:tcBorders>
            <w:noWrap/>
            <w:vAlign w:val="center"/>
          </w:tcPr>
          <w:p w14:paraId="67B29144">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21</w:t>
            </w:r>
          </w:p>
        </w:tc>
        <w:tc>
          <w:tcPr>
            <w:tcW w:w="704" w:type="dxa"/>
            <w:tcBorders>
              <w:bottom w:val="single" w:color="auto" w:sz="4" w:space="0"/>
            </w:tcBorders>
            <w:noWrap/>
            <w:vAlign w:val="center"/>
          </w:tcPr>
          <w:p w14:paraId="487BDB5C">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30</w:t>
            </w:r>
          </w:p>
        </w:tc>
        <w:tc>
          <w:tcPr>
            <w:tcW w:w="464" w:type="dxa"/>
            <w:tcBorders>
              <w:bottom w:val="single" w:color="auto" w:sz="4" w:space="0"/>
            </w:tcBorders>
            <w:noWrap/>
            <w:vAlign w:val="center"/>
          </w:tcPr>
          <w:p w14:paraId="529B2359">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10</w:t>
            </w:r>
          </w:p>
        </w:tc>
        <w:tc>
          <w:tcPr>
            <w:tcW w:w="736" w:type="dxa"/>
            <w:tcBorders>
              <w:bottom w:val="single" w:color="auto" w:sz="4" w:space="0"/>
            </w:tcBorders>
            <w:noWrap/>
            <w:vAlign w:val="center"/>
          </w:tcPr>
          <w:p w14:paraId="24A7FFC0">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0.210</w:t>
            </w:r>
          </w:p>
        </w:tc>
        <w:tc>
          <w:tcPr>
            <w:tcW w:w="561" w:type="dxa"/>
            <w:tcBorders>
              <w:bottom w:val="single" w:color="auto" w:sz="4" w:space="0"/>
            </w:tcBorders>
            <w:noWrap/>
            <w:vAlign w:val="center"/>
          </w:tcPr>
          <w:p w14:paraId="5C0B2A3C">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15</w:t>
            </w:r>
          </w:p>
        </w:tc>
        <w:tc>
          <w:tcPr>
            <w:tcW w:w="574" w:type="dxa"/>
            <w:tcBorders>
              <w:bottom w:val="single" w:color="auto" w:sz="4" w:space="0"/>
            </w:tcBorders>
            <w:noWrap/>
            <w:vAlign w:val="center"/>
          </w:tcPr>
          <w:p w14:paraId="3360368F">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22</w:t>
            </w:r>
          </w:p>
        </w:tc>
        <w:tc>
          <w:tcPr>
            <w:tcW w:w="750" w:type="dxa"/>
            <w:tcBorders>
              <w:bottom w:val="single" w:color="auto" w:sz="4" w:space="0"/>
            </w:tcBorders>
            <w:noWrap/>
            <w:vAlign w:val="center"/>
          </w:tcPr>
          <w:p w14:paraId="0D19E1F8">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0.576</w:t>
            </w:r>
          </w:p>
        </w:tc>
        <w:tc>
          <w:tcPr>
            <w:tcW w:w="529" w:type="dxa"/>
            <w:tcBorders>
              <w:bottom w:val="single" w:color="auto" w:sz="4" w:space="0"/>
            </w:tcBorders>
            <w:noWrap/>
            <w:vAlign w:val="center"/>
          </w:tcPr>
          <w:p w14:paraId="34FEAEA7">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26</w:t>
            </w:r>
          </w:p>
        </w:tc>
        <w:tc>
          <w:tcPr>
            <w:tcW w:w="710" w:type="dxa"/>
            <w:tcBorders>
              <w:bottom w:val="single" w:color="auto" w:sz="4" w:space="0"/>
            </w:tcBorders>
            <w:noWrap/>
            <w:vAlign w:val="center"/>
          </w:tcPr>
          <w:p w14:paraId="297F020E">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6</w:t>
            </w:r>
          </w:p>
        </w:tc>
        <w:tc>
          <w:tcPr>
            <w:tcW w:w="503" w:type="dxa"/>
            <w:tcBorders>
              <w:bottom w:val="single" w:color="auto" w:sz="4" w:space="0"/>
            </w:tcBorders>
            <w:noWrap/>
            <w:vAlign w:val="center"/>
          </w:tcPr>
          <w:p w14:paraId="087E8E35">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5</w:t>
            </w:r>
          </w:p>
        </w:tc>
        <w:tc>
          <w:tcPr>
            <w:tcW w:w="757" w:type="dxa"/>
            <w:tcBorders>
              <w:bottom w:val="single" w:color="auto" w:sz="4" w:space="0"/>
            </w:tcBorders>
            <w:noWrap/>
            <w:vAlign w:val="center"/>
          </w:tcPr>
          <w:p w14:paraId="7A2246CA">
            <w:pPr>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0.514</w:t>
            </w:r>
          </w:p>
        </w:tc>
      </w:tr>
    </w:tbl>
    <w:p w14:paraId="1B9FDB38">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Table </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 Quality comparison between TikTok and Bilibili.</w:t>
      </w:r>
    </w:p>
    <w:p w14:paraId="76CB77B9">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The correspondence between scale scores (GQS and mDISCERN) and quality level: 1-2 points are defined as low, 3 points as middle, and 4-5 points as high.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NP: </w:t>
      </w:r>
      <w:r>
        <w:rPr>
          <w:rFonts w:hint="default" w:ascii="Times New Roman" w:hAnsi="Times New Roman" w:eastAsia="宋体" w:cs="Times New Roman"/>
          <w:i w:val="0"/>
          <w:iCs w:val="0"/>
          <w:color w:val="000000"/>
          <w:kern w:val="0"/>
          <w:sz w:val="20"/>
          <w:szCs w:val="20"/>
          <w:u w:val="none"/>
          <w:lang w:val="en-US" w:eastAsia="zh-CN" w:bidi="ar"/>
        </w:rPr>
        <w:t>Non-medical professional video source</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MP: Medical professional video source</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BK</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Basic knowledge of the disease</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CRD</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Case reports and related discussions</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TP</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Treatment process.</w:t>
      </w:r>
    </w:p>
    <w:p w14:paraId="6C15396D">
      <w:pPr>
        <w:spacing w:line="360" w:lineRule="auto"/>
        <w:rPr>
          <w:rFonts w:hint="eastAsia" w:ascii="Times New Roman" w:hAnsi="Times New Roman" w:eastAsia="宋体" w:cs="Times New Roman"/>
          <w:sz w:val="24"/>
        </w:rPr>
      </w:pPr>
    </w:p>
    <w:p w14:paraId="3514700A">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Factors Influencing Video Quality: Ordinal Logistic Regression Analysis</w:t>
      </w:r>
    </w:p>
    <w:p w14:paraId="71DDC738">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Ordinal logistic regression identified author professionalism as a significant predictor of video quality</w:t>
      </w:r>
      <w:r>
        <w:rPr>
          <w:rFonts w:hint="eastAsia" w:ascii="Times New Roman" w:hAnsi="Times New Roman" w:eastAsia="宋体" w:cs="Times New Roman"/>
          <w:sz w:val="24"/>
          <w:lang w:val="en-US" w:eastAsia="zh-CN"/>
        </w:rPr>
        <w:t xml:space="preserve"> </w:t>
      </w:r>
      <w:r>
        <w:rPr>
          <w:rFonts w:ascii="Times New Roman" w:hAnsi="Times New Roman" w:eastAsia="宋体" w:cs="Times New Roman"/>
          <w:sz w:val="24"/>
        </w:rPr>
        <w:t xml:space="preserve">(Table </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w:t>
      </w:r>
      <w:r>
        <w:rPr>
          <w:rFonts w:hint="eastAsia" w:ascii="Times New Roman" w:hAnsi="Times New Roman" w:eastAsia="宋体" w:cs="Times New Roman"/>
          <w:sz w:val="24"/>
        </w:rPr>
        <w:t>. Professional authors were 4.025 times more likely to produce higher GQS (OR = 4.025, p &lt; 0.0001) and 5.585 times more likely to achieve higher mDISCERN scores (OR = 5.585, p &lt; 0.0001). Video duration was positively associated with both GQS (OR = 1.010, p = 0.019) and mDISCERN (OR = 1.010, p = 0.033), indicating that longer videos generally had higher quality. The number of "Favorites" was linked to higher mDISCERN scores (OR = 1.002, p = 0.038). Other interaction metrics, including Likes, Comments, Shares, and Views, did not significantly influence quality scores.</w:t>
      </w:r>
    </w:p>
    <w:p w14:paraId="0A44E27E">
      <w:pPr>
        <w:spacing w:line="360" w:lineRule="auto"/>
        <w:rPr>
          <w:rFonts w:hint="eastAsia" w:ascii="Times New Roman" w:hAnsi="Times New Roman" w:eastAsia="宋体" w:cs="Times New Roman"/>
          <w:sz w:val="24"/>
        </w:rPr>
      </w:pPr>
    </w:p>
    <w:p w14:paraId="20BB3E7F">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 xml:space="preserve">Table </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 Results of ordinal logistic regression analysis examining the influence of video characteristics on GQS and mDISCERN quality levels.</w:t>
      </w:r>
    </w:p>
    <w:tbl>
      <w:tblPr>
        <w:tblStyle w:val="17"/>
        <w:tblW w:w="8431" w:type="dxa"/>
        <w:jc w:val="center"/>
        <w:tblLayout w:type="fixed"/>
        <w:tblCellMar>
          <w:top w:w="32" w:type="dxa"/>
          <w:left w:w="64" w:type="dxa"/>
          <w:bottom w:w="32" w:type="dxa"/>
          <w:right w:w="64" w:type="dxa"/>
        </w:tblCellMar>
      </w:tblPr>
      <w:tblGrid>
        <w:gridCol w:w="3763"/>
        <w:gridCol w:w="1333"/>
        <w:gridCol w:w="1010"/>
        <w:gridCol w:w="2325"/>
      </w:tblGrid>
      <w:tr w14:paraId="36A845BB">
        <w:tblPrEx>
          <w:tblCellMar>
            <w:top w:w="32" w:type="dxa"/>
            <w:left w:w="64" w:type="dxa"/>
            <w:bottom w:w="32" w:type="dxa"/>
            <w:right w:w="64" w:type="dxa"/>
          </w:tblCellMar>
        </w:tblPrEx>
        <w:trPr>
          <w:trHeight w:val="0" w:hRule="atLeast"/>
          <w:tblHeader/>
          <w:jc w:val="center"/>
        </w:trPr>
        <w:tc>
          <w:tcPr>
            <w:tcW w:w="3763" w:type="dxa"/>
            <w:tcBorders>
              <w:top w:val="single" w:color="auto" w:sz="4" w:space="0"/>
              <w:bottom w:val="single" w:color="auto" w:sz="4" w:space="0"/>
            </w:tcBorders>
            <w:vAlign w:val="center"/>
          </w:tcPr>
          <w:p w14:paraId="31484F73">
            <w:pPr>
              <w:pStyle w:val="16"/>
              <w:snapToGrid w:val="0"/>
              <w:spacing w:before="0" w:after="0" w:line="240" w:lineRule="auto"/>
              <w:jc w:val="center"/>
              <w:rPr>
                <w:rFonts w:hint="default" w:ascii="Times New Roman" w:hAnsi="Times New Roman" w:cs="Times New Roman"/>
                <w:b/>
                <w:bCs/>
                <w:sz w:val="20"/>
                <w:szCs w:val="20"/>
                <w:lang w:eastAsia="zh-CN"/>
              </w:rPr>
            </w:pPr>
            <w:r>
              <w:rPr>
                <w:rFonts w:hint="eastAsia" w:ascii="Times New Roman" w:hAnsi="Times New Roman" w:cs="Times New Roman"/>
                <w:b/>
                <w:bCs/>
                <w:sz w:val="20"/>
                <w:szCs w:val="20"/>
                <w:lang w:eastAsia="zh-CN"/>
              </w:rPr>
              <w:t>Scale, video variable</w:t>
            </w:r>
          </w:p>
        </w:tc>
        <w:tc>
          <w:tcPr>
            <w:tcW w:w="1333" w:type="dxa"/>
            <w:tcBorders>
              <w:top w:val="single" w:color="auto" w:sz="4" w:space="0"/>
              <w:bottom w:val="single" w:color="auto" w:sz="4" w:space="0"/>
            </w:tcBorders>
            <w:vAlign w:val="center"/>
          </w:tcPr>
          <w:p w14:paraId="3E1CC253">
            <w:pPr>
              <w:pStyle w:val="16"/>
              <w:snapToGrid w:val="0"/>
              <w:spacing w:before="0" w:after="0" w:line="240" w:lineRule="auto"/>
              <w:jc w:val="center"/>
              <w:rPr>
                <w:rFonts w:hint="default" w:ascii="Times New Roman" w:hAnsi="Times New Roman" w:cs="Times New Roman"/>
                <w:b/>
                <w:bCs/>
                <w:sz w:val="20"/>
                <w:szCs w:val="20"/>
              </w:rPr>
            </w:pPr>
            <w:r>
              <w:rPr>
                <w:rFonts w:hint="eastAsia" w:ascii="Times New Roman" w:hAnsi="Times New Roman" w:cs="Times New Roman"/>
                <w:b/>
                <w:bCs/>
                <w:i/>
                <w:iCs/>
                <w:sz w:val="20"/>
                <w:szCs w:val="20"/>
                <w:lang w:eastAsia="zh-CN"/>
              </w:rPr>
              <w:t>P-value</w:t>
            </w:r>
          </w:p>
        </w:tc>
        <w:tc>
          <w:tcPr>
            <w:tcW w:w="1010" w:type="dxa"/>
            <w:tcBorders>
              <w:top w:val="single" w:color="auto" w:sz="4" w:space="0"/>
              <w:bottom w:val="single" w:color="auto" w:sz="4" w:space="0"/>
            </w:tcBorders>
            <w:vAlign w:val="center"/>
          </w:tcPr>
          <w:p w14:paraId="7057B1EE">
            <w:pPr>
              <w:pStyle w:val="16"/>
              <w:snapToGrid w:val="0"/>
              <w:spacing w:before="0" w:after="0" w:line="240" w:lineRule="auto"/>
              <w:jc w:val="center"/>
              <w:rPr>
                <w:rFonts w:hint="default" w:ascii="Times New Roman" w:hAnsi="Times New Roman" w:cs="Times New Roman"/>
                <w:b/>
                <w:bCs/>
                <w:sz w:val="20"/>
                <w:szCs w:val="20"/>
                <w:lang w:eastAsia="zh-CN"/>
              </w:rPr>
            </w:pPr>
            <w:r>
              <w:rPr>
                <w:rFonts w:hint="eastAsia" w:ascii="Times New Roman" w:hAnsi="Times New Roman" w:cs="Times New Roman"/>
                <w:b/>
                <w:bCs/>
                <w:sz w:val="20"/>
                <w:szCs w:val="20"/>
                <w:lang w:eastAsia="zh-CN"/>
              </w:rPr>
              <w:t>OR</w:t>
            </w:r>
          </w:p>
        </w:tc>
        <w:tc>
          <w:tcPr>
            <w:tcW w:w="2325" w:type="dxa"/>
            <w:tcBorders>
              <w:top w:val="single" w:color="auto" w:sz="4" w:space="0"/>
              <w:bottom w:val="single" w:color="auto" w:sz="4" w:space="0"/>
            </w:tcBorders>
            <w:vAlign w:val="center"/>
          </w:tcPr>
          <w:p w14:paraId="6F51F81C">
            <w:pPr>
              <w:pStyle w:val="16"/>
              <w:snapToGrid w:val="0"/>
              <w:spacing w:before="0" w:after="0" w:line="240" w:lineRule="auto"/>
              <w:jc w:val="center"/>
              <w:rPr>
                <w:rFonts w:hint="default" w:ascii="Times New Roman" w:hAnsi="Times New Roman" w:cs="Times New Roman"/>
                <w:b/>
                <w:bCs/>
                <w:sz w:val="20"/>
                <w:szCs w:val="20"/>
                <w:lang w:eastAsia="zh-CN"/>
              </w:rPr>
            </w:pPr>
            <w:r>
              <w:rPr>
                <w:rFonts w:hint="eastAsia" w:ascii="Times New Roman" w:hAnsi="Times New Roman" w:cs="Times New Roman"/>
                <w:b/>
                <w:bCs/>
                <w:sz w:val="20"/>
                <w:szCs w:val="20"/>
                <w:lang w:eastAsia="zh-CN"/>
              </w:rPr>
              <w:t>95% CI</w:t>
            </w:r>
          </w:p>
        </w:tc>
      </w:tr>
      <w:tr w14:paraId="78E3F30C">
        <w:tblPrEx>
          <w:tblCellMar>
            <w:top w:w="32" w:type="dxa"/>
            <w:left w:w="64" w:type="dxa"/>
            <w:bottom w:w="32" w:type="dxa"/>
            <w:right w:w="64" w:type="dxa"/>
          </w:tblCellMar>
        </w:tblPrEx>
        <w:trPr>
          <w:trHeight w:val="0" w:hRule="atLeast"/>
          <w:jc w:val="center"/>
        </w:trPr>
        <w:tc>
          <w:tcPr>
            <w:tcW w:w="3763" w:type="dxa"/>
            <w:tcBorders>
              <w:top w:val="single" w:color="auto" w:sz="4" w:space="0"/>
            </w:tcBorders>
            <w:vAlign w:val="center"/>
          </w:tcPr>
          <w:p w14:paraId="7087DEA3">
            <w:pPr>
              <w:pStyle w:val="16"/>
              <w:snapToGrid w:val="0"/>
              <w:spacing w:before="0" w:after="0" w:line="24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GQS</w:t>
            </w:r>
          </w:p>
        </w:tc>
        <w:tc>
          <w:tcPr>
            <w:tcW w:w="1333" w:type="dxa"/>
            <w:tcBorders>
              <w:top w:val="single" w:color="auto" w:sz="4" w:space="0"/>
            </w:tcBorders>
            <w:vAlign w:val="center"/>
          </w:tcPr>
          <w:p w14:paraId="27750CE6">
            <w:pPr>
              <w:pStyle w:val="16"/>
              <w:snapToGrid w:val="0"/>
              <w:spacing w:before="0" w:after="0" w:line="240" w:lineRule="auto"/>
              <w:jc w:val="center"/>
              <w:rPr>
                <w:rFonts w:hint="default" w:ascii="Times New Roman" w:hAnsi="Times New Roman" w:cs="Times New Roman"/>
                <w:sz w:val="20"/>
                <w:szCs w:val="20"/>
              </w:rPr>
            </w:pPr>
          </w:p>
        </w:tc>
        <w:tc>
          <w:tcPr>
            <w:tcW w:w="1010" w:type="dxa"/>
            <w:tcBorders>
              <w:top w:val="single" w:color="auto" w:sz="4" w:space="0"/>
            </w:tcBorders>
            <w:vAlign w:val="center"/>
          </w:tcPr>
          <w:p w14:paraId="507CACCB">
            <w:pPr>
              <w:pStyle w:val="16"/>
              <w:snapToGrid w:val="0"/>
              <w:spacing w:before="0" w:after="0" w:line="240" w:lineRule="auto"/>
              <w:jc w:val="center"/>
              <w:rPr>
                <w:rFonts w:hint="default" w:ascii="Times New Roman" w:hAnsi="Times New Roman" w:cs="Times New Roman"/>
                <w:sz w:val="20"/>
                <w:szCs w:val="20"/>
              </w:rPr>
            </w:pPr>
          </w:p>
        </w:tc>
        <w:tc>
          <w:tcPr>
            <w:tcW w:w="2325" w:type="dxa"/>
            <w:tcBorders>
              <w:top w:val="single" w:color="auto" w:sz="4" w:space="0"/>
            </w:tcBorders>
            <w:vAlign w:val="center"/>
          </w:tcPr>
          <w:p w14:paraId="59FDCE66">
            <w:pPr>
              <w:pStyle w:val="16"/>
              <w:snapToGrid w:val="0"/>
              <w:spacing w:before="0" w:after="0" w:line="240" w:lineRule="auto"/>
              <w:jc w:val="center"/>
              <w:rPr>
                <w:rFonts w:hint="default" w:ascii="Times New Roman" w:hAnsi="Times New Roman" w:cs="Times New Roman"/>
                <w:sz w:val="20"/>
                <w:szCs w:val="20"/>
              </w:rPr>
            </w:pPr>
          </w:p>
        </w:tc>
      </w:tr>
      <w:tr w14:paraId="74AF2A4E">
        <w:tblPrEx>
          <w:tblCellMar>
            <w:top w:w="32" w:type="dxa"/>
            <w:left w:w="64" w:type="dxa"/>
            <w:bottom w:w="32" w:type="dxa"/>
            <w:right w:w="64" w:type="dxa"/>
          </w:tblCellMar>
        </w:tblPrEx>
        <w:trPr>
          <w:trHeight w:val="0" w:hRule="atLeast"/>
          <w:jc w:val="center"/>
        </w:trPr>
        <w:tc>
          <w:tcPr>
            <w:tcW w:w="3763" w:type="dxa"/>
            <w:vAlign w:val="center"/>
          </w:tcPr>
          <w:p w14:paraId="5BF004F3">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Author’s professionalism</w:t>
            </w:r>
          </w:p>
        </w:tc>
        <w:tc>
          <w:tcPr>
            <w:tcW w:w="1333" w:type="dxa"/>
            <w:vAlign w:val="center"/>
          </w:tcPr>
          <w:p w14:paraId="21FAC634">
            <w:pPr>
              <w:pStyle w:val="16"/>
              <w:snapToGrid w:val="0"/>
              <w:spacing w:before="0" w:after="0" w:line="240" w:lineRule="auto"/>
              <w:jc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0.000</w:t>
            </w:r>
          </w:p>
        </w:tc>
        <w:tc>
          <w:tcPr>
            <w:tcW w:w="1010" w:type="dxa"/>
            <w:vAlign w:val="center"/>
          </w:tcPr>
          <w:p w14:paraId="2C929042">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4.025</w:t>
            </w:r>
          </w:p>
        </w:tc>
        <w:tc>
          <w:tcPr>
            <w:tcW w:w="2325" w:type="dxa"/>
            <w:vAlign w:val="center"/>
          </w:tcPr>
          <w:p w14:paraId="0DB505E0">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2.094 ~ 7.738</w:t>
            </w:r>
          </w:p>
        </w:tc>
      </w:tr>
      <w:tr w14:paraId="524B5B60">
        <w:tblPrEx>
          <w:tblCellMar>
            <w:top w:w="32" w:type="dxa"/>
            <w:left w:w="64" w:type="dxa"/>
            <w:bottom w:w="32" w:type="dxa"/>
            <w:right w:w="64" w:type="dxa"/>
          </w:tblCellMar>
        </w:tblPrEx>
        <w:trPr>
          <w:trHeight w:val="0" w:hRule="atLeast"/>
          <w:jc w:val="center"/>
        </w:trPr>
        <w:tc>
          <w:tcPr>
            <w:tcW w:w="3763" w:type="dxa"/>
            <w:vAlign w:val="center"/>
          </w:tcPr>
          <w:p w14:paraId="7EF6DA8F">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Likes</w:t>
            </w:r>
          </w:p>
        </w:tc>
        <w:tc>
          <w:tcPr>
            <w:tcW w:w="1333" w:type="dxa"/>
            <w:vAlign w:val="center"/>
          </w:tcPr>
          <w:p w14:paraId="5F2B9343">
            <w:pPr>
              <w:pStyle w:val="16"/>
              <w:snapToGrid w:val="0"/>
              <w:spacing w:before="0" w:after="0" w:line="240" w:lineRule="auto"/>
              <w:jc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0.341</w:t>
            </w:r>
          </w:p>
        </w:tc>
        <w:tc>
          <w:tcPr>
            <w:tcW w:w="1010" w:type="dxa"/>
            <w:vAlign w:val="center"/>
          </w:tcPr>
          <w:p w14:paraId="25BD6029">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2325" w:type="dxa"/>
            <w:vAlign w:val="center"/>
          </w:tcPr>
          <w:p w14:paraId="6D1ED12B">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0.999 ~ 1.000</w:t>
            </w:r>
          </w:p>
        </w:tc>
      </w:tr>
      <w:tr w14:paraId="71708404">
        <w:tblPrEx>
          <w:tblCellMar>
            <w:top w:w="32" w:type="dxa"/>
            <w:left w:w="64" w:type="dxa"/>
            <w:bottom w:w="32" w:type="dxa"/>
            <w:right w:w="64" w:type="dxa"/>
          </w:tblCellMar>
        </w:tblPrEx>
        <w:trPr>
          <w:trHeight w:val="0" w:hRule="atLeast"/>
          <w:jc w:val="center"/>
        </w:trPr>
        <w:tc>
          <w:tcPr>
            <w:tcW w:w="3763" w:type="dxa"/>
            <w:vAlign w:val="center"/>
          </w:tcPr>
          <w:p w14:paraId="2FFD5C59">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Comments</w:t>
            </w:r>
          </w:p>
        </w:tc>
        <w:tc>
          <w:tcPr>
            <w:tcW w:w="1333" w:type="dxa"/>
            <w:vAlign w:val="center"/>
          </w:tcPr>
          <w:p w14:paraId="25CCA072">
            <w:pPr>
              <w:pStyle w:val="16"/>
              <w:snapToGrid w:val="0"/>
              <w:spacing w:before="0" w:after="0" w:line="240" w:lineRule="auto"/>
              <w:jc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0.771</w:t>
            </w:r>
          </w:p>
        </w:tc>
        <w:tc>
          <w:tcPr>
            <w:tcW w:w="1010" w:type="dxa"/>
            <w:vAlign w:val="center"/>
          </w:tcPr>
          <w:p w14:paraId="3633EE49">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1.001</w:t>
            </w:r>
          </w:p>
        </w:tc>
        <w:tc>
          <w:tcPr>
            <w:tcW w:w="2325" w:type="dxa"/>
            <w:vAlign w:val="center"/>
          </w:tcPr>
          <w:p w14:paraId="01493B31">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0.997 ~ 1.004</w:t>
            </w:r>
          </w:p>
        </w:tc>
      </w:tr>
      <w:tr w14:paraId="5F6185CC">
        <w:tblPrEx>
          <w:tblCellMar>
            <w:top w:w="32" w:type="dxa"/>
            <w:left w:w="64" w:type="dxa"/>
            <w:bottom w:w="32" w:type="dxa"/>
            <w:right w:w="64" w:type="dxa"/>
          </w:tblCellMar>
        </w:tblPrEx>
        <w:trPr>
          <w:trHeight w:val="0" w:hRule="atLeast"/>
          <w:jc w:val="center"/>
        </w:trPr>
        <w:tc>
          <w:tcPr>
            <w:tcW w:w="3763" w:type="dxa"/>
            <w:vAlign w:val="center"/>
          </w:tcPr>
          <w:p w14:paraId="048576A8">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Favorite</w:t>
            </w:r>
          </w:p>
        </w:tc>
        <w:tc>
          <w:tcPr>
            <w:tcW w:w="1333" w:type="dxa"/>
            <w:vAlign w:val="center"/>
          </w:tcPr>
          <w:p w14:paraId="0F25CAF3">
            <w:pPr>
              <w:pStyle w:val="16"/>
              <w:snapToGrid w:val="0"/>
              <w:spacing w:before="0" w:after="0" w:line="240" w:lineRule="auto"/>
              <w:jc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0.368</w:t>
            </w:r>
          </w:p>
        </w:tc>
        <w:tc>
          <w:tcPr>
            <w:tcW w:w="1010" w:type="dxa"/>
            <w:vAlign w:val="center"/>
          </w:tcPr>
          <w:p w14:paraId="37E77D6E">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1.001</w:t>
            </w:r>
          </w:p>
        </w:tc>
        <w:tc>
          <w:tcPr>
            <w:tcW w:w="2325" w:type="dxa"/>
            <w:vAlign w:val="center"/>
          </w:tcPr>
          <w:p w14:paraId="46C3C4CB">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0.999 ~ 1.002</w:t>
            </w:r>
          </w:p>
        </w:tc>
      </w:tr>
      <w:tr w14:paraId="12F446A0">
        <w:tblPrEx>
          <w:tblCellMar>
            <w:top w:w="32" w:type="dxa"/>
            <w:left w:w="64" w:type="dxa"/>
            <w:bottom w:w="32" w:type="dxa"/>
            <w:right w:w="64" w:type="dxa"/>
          </w:tblCellMar>
        </w:tblPrEx>
        <w:trPr>
          <w:trHeight w:val="0" w:hRule="atLeast"/>
          <w:jc w:val="center"/>
        </w:trPr>
        <w:tc>
          <w:tcPr>
            <w:tcW w:w="3763" w:type="dxa"/>
            <w:vAlign w:val="center"/>
          </w:tcPr>
          <w:p w14:paraId="3B56CC16">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Share</w:t>
            </w:r>
          </w:p>
        </w:tc>
        <w:tc>
          <w:tcPr>
            <w:tcW w:w="1333" w:type="dxa"/>
            <w:vAlign w:val="center"/>
          </w:tcPr>
          <w:p w14:paraId="0BE02DD4">
            <w:pPr>
              <w:pStyle w:val="16"/>
              <w:snapToGrid w:val="0"/>
              <w:spacing w:before="0" w:after="0" w:line="240" w:lineRule="auto"/>
              <w:jc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0.587</w:t>
            </w:r>
          </w:p>
        </w:tc>
        <w:tc>
          <w:tcPr>
            <w:tcW w:w="1010" w:type="dxa"/>
            <w:vAlign w:val="center"/>
          </w:tcPr>
          <w:p w14:paraId="324ADC95">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2325" w:type="dxa"/>
            <w:vAlign w:val="center"/>
          </w:tcPr>
          <w:p w14:paraId="7CFD0D4D">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0.999 ~ 1.001</w:t>
            </w:r>
          </w:p>
        </w:tc>
      </w:tr>
      <w:tr w14:paraId="696A0EBA">
        <w:tblPrEx>
          <w:tblCellMar>
            <w:top w:w="32" w:type="dxa"/>
            <w:left w:w="64" w:type="dxa"/>
            <w:bottom w:w="32" w:type="dxa"/>
            <w:right w:w="64" w:type="dxa"/>
          </w:tblCellMar>
        </w:tblPrEx>
        <w:trPr>
          <w:trHeight w:val="0" w:hRule="atLeast"/>
          <w:jc w:val="center"/>
        </w:trPr>
        <w:tc>
          <w:tcPr>
            <w:tcW w:w="3763" w:type="dxa"/>
            <w:vAlign w:val="center"/>
          </w:tcPr>
          <w:p w14:paraId="40462125">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Views</w:t>
            </w:r>
          </w:p>
        </w:tc>
        <w:tc>
          <w:tcPr>
            <w:tcW w:w="1333" w:type="dxa"/>
            <w:vAlign w:val="center"/>
          </w:tcPr>
          <w:p w14:paraId="5D726B0C">
            <w:pPr>
              <w:pStyle w:val="16"/>
              <w:snapToGrid w:val="0"/>
              <w:spacing w:before="0" w:after="0" w:line="240" w:lineRule="auto"/>
              <w:jc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0.581</w:t>
            </w:r>
          </w:p>
        </w:tc>
        <w:tc>
          <w:tcPr>
            <w:tcW w:w="1010" w:type="dxa"/>
            <w:vAlign w:val="center"/>
          </w:tcPr>
          <w:p w14:paraId="098186B3">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2325" w:type="dxa"/>
            <w:vAlign w:val="center"/>
          </w:tcPr>
          <w:p w14:paraId="4919449D">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1.000 ~ 1.000</w:t>
            </w:r>
          </w:p>
        </w:tc>
      </w:tr>
      <w:tr w14:paraId="3B645A21">
        <w:tblPrEx>
          <w:tblCellMar>
            <w:top w:w="32" w:type="dxa"/>
            <w:left w:w="64" w:type="dxa"/>
            <w:bottom w:w="32" w:type="dxa"/>
            <w:right w:w="64" w:type="dxa"/>
          </w:tblCellMar>
        </w:tblPrEx>
        <w:trPr>
          <w:trHeight w:val="0" w:hRule="atLeast"/>
          <w:jc w:val="center"/>
        </w:trPr>
        <w:tc>
          <w:tcPr>
            <w:tcW w:w="3763" w:type="dxa"/>
            <w:tcBorders>
              <w:bottom w:val="single" w:color="auto" w:sz="4" w:space="0"/>
            </w:tcBorders>
            <w:vAlign w:val="center"/>
          </w:tcPr>
          <w:p w14:paraId="24C3F1A7">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Video duration</w:t>
            </w:r>
          </w:p>
        </w:tc>
        <w:tc>
          <w:tcPr>
            <w:tcW w:w="1333" w:type="dxa"/>
            <w:tcBorders>
              <w:bottom w:val="single" w:color="auto" w:sz="4" w:space="0"/>
            </w:tcBorders>
            <w:vAlign w:val="center"/>
          </w:tcPr>
          <w:p w14:paraId="0C1A65B8">
            <w:pPr>
              <w:pStyle w:val="16"/>
              <w:snapToGrid w:val="0"/>
              <w:spacing w:before="0" w:after="0" w:line="240" w:lineRule="auto"/>
              <w:jc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0.019</w:t>
            </w:r>
          </w:p>
        </w:tc>
        <w:tc>
          <w:tcPr>
            <w:tcW w:w="1010" w:type="dxa"/>
            <w:tcBorders>
              <w:bottom w:val="single" w:color="auto" w:sz="4" w:space="0"/>
            </w:tcBorders>
            <w:vAlign w:val="center"/>
          </w:tcPr>
          <w:p w14:paraId="6BBCF359">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1.010</w:t>
            </w:r>
          </w:p>
        </w:tc>
        <w:tc>
          <w:tcPr>
            <w:tcW w:w="2325" w:type="dxa"/>
            <w:tcBorders>
              <w:bottom w:val="single" w:color="auto" w:sz="4" w:space="0"/>
            </w:tcBorders>
            <w:vAlign w:val="center"/>
          </w:tcPr>
          <w:p w14:paraId="4AD07D51">
            <w:pPr>
              <w:pStyle w:val="16"/>
              <w:snapToGrid w:val="0"/>
              <w:spacing w:before="0"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1.002 ~ 1.019</w:t>
            </w:r>
          </w:p>
        </w:tc>
      </w:tr>
      <w:tr w14:paraId="09EFFADC">
        <w:tblPrEx>
          <w:tblCellMar>
            <w:top w:w="32" w:type="dxa"/>
            <w:left w:w="64" w:type="dxa"/>
            <w:bottom w:w="32" w:type="dxa"/>
            <w:right w:w="64" w:type="dxa"/>
          </w:tblCellMar>
        </w:tblPrEx>
        <w:trPr>
          <w:trHeight w:val="0" w:hRule="atLeast"/>
          <w:jc w:val="center"/>
        </w:trPr>
        <w:tc>
          <w:tcPr>
            <w:tcW w:w="3763" w:type="dxa"/>
            <w:tcBorders>
              <w:top w:val="single" w:color="auto" w:sz="4" w:space="0"/>
            </w:tcBorders>
            <w:vAlign w:val="center"/>
          </w:tcPr>
          <w:p w14:paraId="13E26554">
            <w:pPr>
              <w:pStyle w:val="16"/>
              <w:snapToGrid w:val="0"/>
              <w:spacing w:before="0" w:after="0" w:line="24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mDISCERN</w:t>
            </w:r>
          </w:p>
        </w:tc>
        <w:tc>
          <w:tcPr>
            <w:tcW w:w="1333" w:type="dxa"/>
            <w:tcBorders>
              <w:top w:val="single" w:color="auto" w:sz="4" w:space="0"/>
            </w:tcBorders>
            <w:vAlign w:val="center"/>
          </w:tcPr>
          <w:p w14:paraId="6F5609F9">
            <w:pPr>
              <w:pStyle w:val="16"/>
              <w:snapToGrid w:val="0"/>
              <w:spacing w:before="0" w:after="0" w:line="240" w:lineRule="auto"/>
              <w:jc w:val="center"/>
              <w:rPr>
                <w:rFonts w:hint="default" w:ascii="Times New Roman" w:hAnsi="Times New Roman" w:cs="Times New Roman"/>
                <w:b w:val="0"/>
                <w:bCs w:val="0"/>
                <w:sz w:val="20"/>
                <w:szCs w:val="20"/>
              </w:rPr>
            </w:pPr>
          </w:p>
        </w:tc>
        <w:tc>
          <w:tcPr>
            <w:tcW w:w="1010" w:type="dxa"/>
            <w:tcBorders>
              <w:top w:val="single" w:color="auto" w:sz="4" w:space="0"/>
            </w:tcBorders>
            <w:vAlign w:val="center"/>
          </w:tcPr>
          <w:p w14:paraId="52C99A14">
            <w:pPr>
              <w:pStyle w:val="16"/>
              <w:snapToGrid w:val="0"/>
              <w:spacing w:before="0" w:after="0" w:line="240" w:lineRule="auto"/>
              <w:jc w:val="center"/>
              <w:rPr>
                <w:rFonts w:hint="default" w:ascii="Times New Roman" w:hAnsi="Times New Roman" w:cs="Times New Roman"/>
                <w:sz w:val="20"/>
                <w:szCs w:val="20"/>
              </w:rPr>
            </w:pPr>
          </w:p>
        </w:tc>
        <w:tc>
          <w:tcPr>
            <w:tcW w:w="2325" w:type="dxa"/>
            <w:tcBorders>
              <w:top w:val="single" w:color="auto" w:sz="4" w:space="0"/>
            </w:tcBorders>
            <w:vAlign w:val="center"/>
          </w:tcPr>
          <w:p w14:paraId="1B28DE97">
            <w:pPr>
              <w:pStyle w:val="16"/>
              <w:snapToGrid w:val="0"/>
              <w:spacing w:before="0" w:after="0" w:line="240" w:lineRule="auto"/>
              <w:jc w:val="center"/>
              <w:rPr>
                <w:rFonts w:hint="default" w:ascii="Times New Roman" w:hAnsi="Times New Roman" w:cs="Times New Roman"/>
                <w:sz w:val="20"/>
                <w:szCs w:val="20"/>
              </w:rPr>
            </w:pPr>
          </w:p>
        </w:tc>
      </w:tr>
      <w:tr w14:paraId="01EEF60C">
        <w:tblPrEx>
          <w:tblCellMar>
            <w:top w:w="32" w:type="dxa"/>
            <w:left w:w="64" w:type="dxa"/>
            <w:bottom w:w="32" w:type="dxa"/>
            <w:right w:w="64" w:type="dxa"/>
          </w:tblCellMar>
        </w:tblPrEx>
        <w:trPr>
          <w:trHeight w:val="0" w:hRule="atLeast"/>
          <w:jc w:val="center"/>
        </w:trPr>
        <w:tc>
          <w:tcPr>
            <w:tcW w:w="3763" w:type="dxa"/>
            <w:vAlign w:val="center"/>
          </w:tcPr>
          <w:p w14:paraId="56777FA5">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Author’s professionalism</w:t>
            </w:r>
          </w:p>
        </w:tc>
        <w:tc>
          <w:tcPr>
            <w:tcW w:w="1333" w:type="dxa"/>
            <w:vAlign w:val="center"/>
          </w:tcPr>
          <w:p w14:paraId="4168BFD9">
            <w:pPr>
              <w:pStyle w:val="16"/>
              <w:snapToGrid w:val="0"/>
              <w:spacing w:before="0" w:after="0" w:line="240" w:lineRule="auto"/>
              <w:jc w:val="center"/>
              <w:rPr>
                <w:rFonts w:hint="default" w:ascii="Times New Roman" w:hAnsi="Times New Roman" w:cs="Times New Roman"/>
                <w:b w:val="0"/>
                <w:bCs w:val="0"/>
                <w:sz w:val="20"/>
                <w:szCs w:val="20"/>
                <w:lang w:eastAsia="en-US"/>
              </w:rPr>
            </w:pPr>
            <w:r>
              <w:rPr>
                <w:rFonts w:hint="default" w:ascii="Times New Roman" w:hAnsi="Times New Roman" w:cs="Times New Roman"/>
                <w:b w:val="0"/>
                <w:bCs w:val="0"/>
                <w:sz w:val="20"/>
                <w:szCs w:val="20"/>
              </w:rPr>
              <w:t>0.000</w:t>
            </w:r>
          </w:p>
        </w:tc>
        <w:tc>
          <w:tcPr>
            <w:tcW w:w="1010" w:type="dxa"/>
            <w:vAlign w:val="center"/>
          </w:tcPr>
          <w:p w14:paraId="6A94B8AD">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5.585</w:t>
            </w:r>
          </w:p>
        </w:tc>
        <w:tc>
          <w:tcPr>
            <w:tcW w:w="2325" w:type="dxa"/>
            <w:vAlign w:val="center"/>
          </w:tcPr>
          <w:p w14:paraId="667DC4AC">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2.700 ~ 11.550</w:t>
            </w:r>
          </w:p>
        </w:tc>
      </w:tr>
      <w:tr w14:paraId="7100122C">
        <w:tblPrEx>
          <w:tblCellMar>
            <w:top w:w="32" w:type="dxa"/>
            <w:left w:w="64" w:type="dxa"/>
            <w:bottom w:w="32" w:type="dxa"/>
            <w:right w:w="64" w:type="dxa"/>
          </w:tblCellMar>
        </w:tblPrEx>
        <w:trPr>
          <w:trHeight w:val="0" w:hRule="atLeast"/>
          <w:jc w:val="center"/>
        </w:trPr>
        <w:tc>
          <w:tcPr>
            <w:tcW w:w="3763" w:type="dxa"/>
            <w:vAlign w:val="center"/>
          </w:tcPr>
          <w:p w14:paraId="4761CBA1">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Likes</w:t>
            </w:r>
          </w:p>
        </w:tc>
        <w:tc>
          <w:tcPr>
            <w:tcW w:w="1333" w:type="dxa"/>
            <w:vAlign w:val="center"/>
          </w:tcPr>
          <w:p w14:paraId="0DCDABD9">
            <w:pPr>
              <w:pStyle w:val="16"/>
              <w:snapToGrid w:val="0"/>
              <w:spacing w:before="0" w:after="0" w:line="240" w:lineRule="auto"/>
              <w:jc w:val="center"/>
              <w:rPr>
                <w:rFonts w:hint="default" w:ascii="Times New Roman" w:hAnsi="Times New Roman" w:cs="Times New Roman"/>
                <w:b w:val="0"/>
                <w:bCs w:val="0"/>
                <w:sz w:val="20"/>
                <w:szCs w:val="20"/>
                <w:lang w:eastAsia="en-US"/>
              </w:rPr>
            </w:pPr>
            <w:r>
              <w:rPr>
                <w:rFonts w:hint="default" w:ascii="Times New Roman" w:hAnsi="Times New Roman" w:cs="Times New Roman"/>
                <w:b w:val="0"/>
                <w:bCs w:val="0"/>
                <w:sz w:val="20"/>
                <w:szCs w:val="20"/>
              </w:rPr>
              <w:t>0.230</w:t>
            </w:r>
          </w:p>
        </w:tc>
        <w:tc>
          <w:tcPr>
            <w:tcW w:w="1010" w:type="dxa"/>
            <w:vAlign w:val="center"/>
          </w:tcPr>
          <w:p w14:paraId="26464B79">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1.000</w:t>
            </w:r>
          </w:p>
        </w:tc>
        <w:tc>
          <w:tcPr>
            <w:tcW w:w="2325" w:type="dxa"/>
            <w:vAlign w:val="center"/>
          </w:tcPr>
          <w:p w14:paraId="71CA17CD">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0.999 ~ 1.000</w:t>
            </w:r>
          </w:p>
        </w:tc>
      </w:tr>
      <w:tr w14:paraId="3767259C">
        <w:tblPrEx>
          <w:tblCellMar>
            <w:top w:w="32" w:type="dxa"/>
            <w:left w:w="64" w:type="dxa"/>
            <w:bottom w:w="32" w:type="dxa"/>
            <w:right w:w="64" w:type="dxa"/>
          </w:tblCellMar>
        </w:tblPrEx>
        <w:trPr>
          <w:trHeight w:val="0" w:hRule="atLeast"/>
          <w:jc w:val="center"/>
        </w:trPr>
        <w:tc>
          <w:tcPr>
            <w:tcW w:w="3763" w:type="dxa"/>
            <w:vAlign w:val="center"/>
          </w:tcPr>
          <w:p w14:paraId="2AC6282F">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Comments</w:t>
            </w:r>
          </w:p>
        </w:tc>
        <w:tc>
          <w:tcPr>
            <w:tcW w:w="1333" w:type="dxa"/>
            <w:vAlign w:val="center"/>
          </w:tcPr>
          <w:p w14:paraId="0F0052D7">
            <w:pPr>
              <w:pStyle w:val="16"/>
              <w:snapToGrid w:val="0"/>
              <w:spacing w:before="0" w:after="0" w:line="240" w:lineRule="auto"/>
              <w:jc w:val="center"/>
              <w:rPr>
                <w:rFonts w:hint="default" w:ascii="Times New Roman" w:hAnsi="Times New Roman" w:cs="Times New Roman"/>
                <w:b w:val="0"/>
                <w:bCs w:val="0"/>
                <w:sz w:val="20"/>
                <w:szCs w:val="20"/>
                <w:lang w:eastAsia="en-US"/>
              </w:rPr>
            </w:pPr>
            <w:r>
              <w:rPr>
                <w:rFonts w:hint="default" w:ascii="Times New Roman" w:hAnsi="Times New Roman" w:cs="Times New Roman"/>
                <w:b w:val="0"/>
                <w:bCs w:val="0"/>
                <w:sz w:val="20"/>
                <w:szCs w:val="20"/>
              </w:rPr>
              <w:t>0.176</w:t>
            </w:r>
          </w:p>
        </w:tc>
        <w:tc>
          <w:tcPr>
            <w:tcW w:w="1010" w:type="dxa"/>
            <w:vAlign w:val="center"/>
          </w:tcPr>
          <w:p w14:paraId="1A76CBB0">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1.003</w:t>
            </w:r>
          </w:p>
        </w:tc>
        <w:tc>
          <w:tcPr>
            <w:tcW w:w="2325" w:type="dxa"/>
            <w:vAlign w:val="center"/>
          </w:tcPr>
          <w:p w14:paraId="5A70E0A6">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0.999 ~ 1.007</w:t>
            </w:r>
          </w:p>
        </w:tc>
      </w:tr>
      <w:tr w14:paraId="4E4651F2">
        <w:tblPrEx>
          <w:tblCellMar>
            <w:top w:w="32" w:type="dxa"/>
            <w:left w:w="64" w:type="dxa"/>
            <w:bottom w:w="32" w:type="dxa"/>
            <w:right w:w="64" w:type="dxa"/>
          </w:tblCellMar>
        </w:tblPrEx>
        <w:trPr>
          <w:trHeight w:val="0" w:hRule="atLeast"/>
          <w:jc w:val="center"/>
        </w:trPr>
        <w:tc>
          <w:tcPr>
            <w:tcW w:w="3763" w:type="dxa"/>
            <w:vAlign w:val="center"/>
          </w:tcPr>
          <w:p w14:paraId="0B1A9B54">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Favorite</w:t>
            </w:r>
          </w:p>
        </w:tc>
        <w:tc>
          <w:tcPr>
            <w:tcW w:w="1333" w:type="dxa"/>
            <w:vAlign w:val="center"/>
          </w:tcPr>
          <w:p w14:paraId="16C5AE33">
            <w:pPr>
              <w:pStyle w:val="16"/>
              <w:snapToGrid w:val="0"/>
              <w:spacing w:before="0" w:after="0" w:line="240" w:lineRule="auto"/>
              <w:jc w:val="center"/>
              <w:rPr>
                <w:rFonts w:hint="default" w:ascii="Times New Roman" w:hAnsi="Times New Roman" w:cs="Times New Roman"/>
                <w:b w:val="0"/>
                <w:bCs w:val="0"/>
                <w:sz w:val="20"/>
                <w:szCs w:val="20"/>
                <w:lang w:eastAsia="en-US"/>
              </w:rPr>
            </w:pPr>
            <w:r>
              <w:rPr>
                <w:rFonts w:hint="default" w:ascii="Times New Roman" w:hAnsi="Times New Roman" w:cs="Times New Roman"/>
                <w:b w:val="0"/>
                <w:bCs w:val="0"/>
                <w:sz w:val="20"/>
                <w:szCs w:val="20"/>
              </w:rPr>
              <w:t>0.038</w:t>
            </w:r>
          </w:p>
        </w:tc>
        <w:tc>
          <w:tcPr>
            <w:tcW w:w="1010" w:type="dxa"/>
            <w:vAlign w:val="center"/>
          </w:tcPr>
          <w:p w14:paraId="38B89559">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1.002</w:t>
            </w:r>
          </w:p>
        </w:tc>
        <w:tc>
          <w:tcPr>
            <w:tcW w:w="2325" w:type="dxa"/>
            <w:vAlign w:val="center"/>
          </w:tcPr>
          <w:p w14:paraId="1C46415D">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1.000 ~ 1.004</w:t>
            </w:r>
          </w:p>
        </w:tc>
      </w:tr>
      <w:tr w14:paraId="48ACBED8">
        <w:tblPrEx>
          <w:tblCellMar>
            <w:top w:w="32" w:type="dxa"/>
            <w:left w:w="64" w:type="dxa"/>
            <w:bottom w:w="32" w:type="dxa"/>
            <w:right w:w="64" w:type="dxa"/>
          </w:tblCellMar>
        </w:tblPrEx>
        <w:trPr>
          <w:trHeight w:val="0" w:hRule="atLeast"/>
          <w:jc w:val="center"/>
        </w:trPr>
        <w:tc>
          <w:tcPr>
            <w:tcW w:w="3763" w:type="dxa"/>
            <w:vAlign w:val="center"/>
          </w:tcPr>
          <w:p w14:paraId="7AC27D7D">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Share</w:t>
            </w:r>
          </w:p>
        </w:tc>
        <w:tc>
          <w:tcPr>
            <w:tcW w:w="1333" w:type="dxa"/>
            <w:vAlign w:val="center"/>
          </w:tcPr>
          <w:p w14:paraId="125516AE">
            <w:pPr>
              <w:pStyle w:val="16"/>
              <w:snapToGrid w:val="0"/>
              <w:spacing w:before="0" w:after="0" w:line="240" w:lineRule="auto"/>
              <w:jc w:val="center"/>
              <w:rPr>
                <w:rFonts w:hint="default" w:ascii="Times New Roman" w:hAnsi="Times New Roman" w:cs="Times New Roman"/>
                <w:b w:val="0"/>
                <w:bCs w:val="0"/>
                <w:sz w:val="20"/>
                <w:szCs w:val="20"/>
                <w:lang w:eastAsia="en-US"/>
              </w:rPr>
            </w:pPr>
            <w:r>
              <w:rPr>
                <w:rFonts w:hint="default" w:ascii="Times New Roman" w:hAnsi="Times New Roman" w:cs="Times New Roman"/>
                <w:b w:val="0"/>
                <w:bCs w:val="0"/>
                <w:sz w:val="20"/>
                <w:szCs w:val="20"/>
              </w:rPr>
              <w:t>0.116</w:t>
            </w:r>
          </w:p>
        </w:tc>
        <w:tc>
          <w:tcPr>
            <w:tcW w:w="1010" w:type="dxa"/>
            <w:vAlign w:val="center"/>
          </w:tcPr>
          <w:p w14:paraId="6553C4D6">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0.999</w:t>
            </w:r>
          </w:p>
        </w:tc>
        <w:tc>
          <w:tcPr>
            <w:tcW w:w="2325" w:type="dxa"/>
            <w:vAlign w:val="center"/>
          </w:tcPr>
          <w:p w14:paraId="59B32559">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0.998 ~ 1.000</w:t>
            </w:r>
          </w:p>
        </w:tc>
      </w:tr>
      <w:tr w14:paraId="21A0F9B1">
        <w:tblPrEx>
          <w:tblCellMar>
            <w:top w:w="32" w:type="dxa"/>
            <w:left w:w="64" w:type="dxa"/>
            <w:bottom w:w="32" w:type="dxa"/>
            <w:right w:w="64" w:type="dxa"/>
          </w:tblCellMar>
        </w:tblPrEx>
        <w:trPr>
          <w:trHeight w:val="0" w:hRule="atLeast"/>
          <w:jc w:val="center"/>
        </w:trPr>
        <w:tc>
          <w:tcPr>
            <w:tcW w:w="3763" w:type="dxa"/>
            <w:vAlign w:val="center"/>
          </w:tcPr>
          <w:p w14:paraId="26223372">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Views</w:t>
            </w:r>
          </w:p>
        </w:tc>
        <w:tc>
          <w:tcPr>
            <w:tcW w:w="1333" w:type="dxa"/>
            <w:vAlign w:val="center"/>
          </w:tcPr>
          <w:p w14:paraId="091C6121">
            <w:pPr>
              <w:pStyle w:val="16"/>
              <w:snapToGrid w:val="0"/>
              <w:spacing w:before="0" w:after="0" w:line="240" w:lineRule="auto"/>
              <w:jc w:val="center"/>
              <w:rPr>
                <w:rFonts w:hint="default" w:ascii="Times New Roman" w:hAnsi="Times New Roman" w:cs="Times New Roman"/>
                <w:b w:val="0"/>
                <w:bCs w:val="0"/>
                <w:sz w:val="20"/>
                <w:szCs w:val="20"/>
                <w:lang w:eastAsia="en-US"/>
              </w:rPr>
            </w:pPr>
            <w:r>
              <w:rPr>
                <w:rFonts w:hint="default" w:ascii="Times New Roman" w:hAnsi="Times New Roman" w:cs="Times New Roman"/>
                <w:b w:val="0"/>
                <w:bCs w:val="0"/>
                <w:sz w:val="20"/>
                <w:szCs w:val="20"/>
              </w:rPr>
              <w:t>0.873</w:t>
            </w:r>
          </w:p>
        </w:tc>
        <w:tc>
          <w:tcPr>
            <w:tcW w:w="1010" w:type="dxa"/>
            <w:vAlign w:val="center"/>
          </w:tcPr>
          <w:p w14:paraId="20C6D1C2">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1.000</w:t>
            </w:r>
          </w:p>
        </w:tc>
        <w:tc>
          <w:tcPr>
            <w:tcW w:w="2325" w:type="dxa"/>
            <w:vAlign w:val="center"/>
          </w:tcPr>
          <w:p w14:paraId="0669BDBF">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1.000 ~ 1.000</w:t>
            </w:r>
          </w:p>
        </w:tc>
      </w:tr>
      <w:tr w14:paraId="51FBD851">
        <w:tblPrEx>
          <w:tblCellMar>
            <w:top w:w="32" w:type="dxa"/>
            <w:left w:w="64" w:type="dxa"/>
            <w:bottom w:w="32" w:type="dxa"/>
            <w:right w:w="64" w:type="dxa"/>
          </w:tblCellMar>
        </w:tblPrEx>
        <w:trPr>
          <w:trHeight w:val="0" w:hRule="atLeast"/>
          <w:jc w:val="center"/>
        </w:trPr>
        <w:tc>
          <w:tcPr>
            <w:tcW w:w="3763" w:type="dxa"/>
            <w:tcBorders>
              <w:bottom w:val="single" w:color="auto" w:sz="4" w:space="0"/>
            </w:tcBorders>
            <w:vAlign w:val="center"/>
          </w:tcPr>
          <w:p w14:paraId="3797C2B5">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Video duration</w:t>
            </w:r>
          </w:p>
        </w:tc>
        <w:tc>
          <w:tcPr>
            <w:tcW w:w="1333" w:type="dxa"/>
            <w:tcBorders>
              <w:bottom w:val="single" w:color="auto" w:sz="4" w:space="0"/>
            </w:tcBorders>
            <w:vAlign w:val="center"/>
          </w:tcPr>
          <w:p w14:paraId="54157790">
            <w:pPr>
              <w:pStyle w:val="16"/>
              <w:snapToGrid w:val="0"/>
              <w:spacing w:before="0" w:after="0" w:line="240" w:lineRule="auto"/>
              <w:jc w:val="center"/>
              <w:rPr>
                <w:rFonts w:hint="default" w:ascii="Times New Roman" w:hAnsi="Times New Roman" w:cs="Times New Roman"/>
                <w:b w:val="0"/>
                <w:bCs w:val="0"/>
                <w:sz w:val="20"/>
                <w:szCs w:val="20"/>
                <w:lang w:eastAsia="en-US"/>
              </w:rPr>
            </w:pPr>
            <w:r>
              <w:rPr>
                <w:rFonts w:hint="default" w:ascii="Times New Roman" w:hAnsi="Times New Roman" w:cs="Times New Roman"/>
                <w:b w:val="0"/>
                <w:bCs w:val="0"/>
                <w:sz w:val="20"/>
                <w:szCs w:val="20"/>
              </w:rPr>
              <w:t>0.033</w:t>
            </w:r>
          </w:p>
        </w:tc>
        <w:tc>
          <w:tcPr>
            <w:tcW w:w="1010" w:type="dxa"/>
            <w:tcBorders>
              <w:bottom w:val="single" w:color="auto" w:sz="4" w:space="0"/>
            </w:tcBorders>
            <w:vAlign w:val="center"/>
          </w:tcPr>
          <w:p w14:paraId="5698B909">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1.010</w:t>
            </w:r>
          </w:p>
        </w:tc>
        <w:tc>
          <w:tcPr>
            <w:tcW w:w="2325" w:type="dxa"/>
            <w:tcBorders>
              <w:bottom w:val="single" w:color="auto" w:sz="4" w:space="0"/>
            </w:tcBorders>
            <w:vAlign w:val="center"/>
          </w:tcPr>
          <w:p w14:paraId="3BFF736C">
            <w:pPr>
              <w:pStyle w:val="16"/>
              <w:snapToGrid w:val="0"/>
              <w:spacing w:before="0" w:after="0" w:line="240" w:lineRule="auto"/>
              <w:jc w:val="center"/>
              <w:rPr>
                <w:rFonts w:hint="default" w:ascii="Times New Roman" w:hAnsi="Times New Roman" w:cs="Times New Roman"/>
                <w:sz w:val="20"/>
                <w:szCs w:val="20"/>
                <w:lang w:eastAsia="en-US"/>
              </w:rPr>
            </w:pPr>
            <w:r>
              <w:rPr>
                <w:rFonts w:hint="default" w:ascii="Times New Roman" w:hAnsi="Times New Roman" w:cs="Times New Roman"/>
                <w:sz w:val="20"/>
                <w:szCs w:val="20"/>
              </w:rPr>
              <w:t>1.001 ~ 1.019</w:t>
            </w:r>
          </w:p>
        </w:tc>
      </w:tr>
    </w:tbl>
    <w:p w14:paraId="3C7AF39D">
      <w:pPr>
        <w:spacing w:line="360" w:lineRule="auto"/>
        <w:rPr>
          <w:rFonts w:hint="eastAsia" w:ascii="Times New Roman" w:hAnsi="Times New Roman" w:eastAsia="宋体" w:cs="Times New Roman"/>
          <w:sz w:val="24"/>
        </w:rPr>
      </w:pPr>
    </w:p>
    <w:p w14:paraId="45853485">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Correlation Analysis of Video Characteristics and Quality</w:t>
      </w:r>
    </w:p>
    <w:p w14:paraId="125D0B5A">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Pearson correlation analysis revealed a significant positive correlation between author professionalism and both GQS (r = 0.42, p &lt; 0.001) and mDISCERN (r = 0.43, p &lt; 0.001), indicating that professional creators produce higher-quality content. GQS and mDISCERN were highly inter-correlated (r = 0.82, p &lt; 0.001). Both quality scores showed significant negative correlations with interaction metrics: GQS with Likes (r = -0.19, p = 0.032) and Comments (r = -0.24, p = 0.007); mDISCERN with Likes (r = -0.27, p = 0.002), Comments (r = -0.26, p = 0.003), Shares (r = -0.19, p = 0.030), and Views (r = -0.28, p = 0.002). These findings suggest that higher engagement is associated with lower perceived quality. Video duration did not significantly correlate with either quality scores or interaction metrics</w:t>
      </w:r>
      <w:r>
        <w:rPr>
          <w:rFonts w:hint="eastAsia" w:ascii="Times New Roman" w:hAnsi="Times New Roman" w:eastAsia="宋体" w:cs="Times New Roman"/>
          <w:sz w:val="24"/>
          <w:lang w:val="en-US" w:eastAsia="zh-CN"/>
        </w:rPr>
        <w:t xml:space="preserve"> </w:t>
      </w:r>
      <w:r>
        <w:rPr>
          <w:rFonts w:ascii="Times New Roman" w:hAnsi="Times New Roman" w:eastAsia="宋体" w:cs="Times New Roman"/>
          <w:sz w:val="24"/>
        </w:rPr>
        <w:t xml:space="preserve">(Figure </w:t>
      </w:r>
      <w:r>
        <w:rPr>
          <w:rFonts w:hint="eastAsia" w:ascii="Times New Roman" w:hAnsi="Times New Roman" w:eastAsia="宋体" w:cs="Times New Roman"/>
          <w:sz w:val="24"/>
          <w:lang w:val="en-US" w:eastAsia="zh-CN"/>
        </w:rPr>
        <w:t>2</w:t>
      </w:r>
      <w:r>
        <w:rPr>
          <w:rFonts w:ascii="Times New Roman" w:hAnsi="Times New Roman" w:eastAsia="宋体" w:cs="Times New Roman"/>
          <w:sz w:val="24"/>
        </w:rPr>
        <w:t>)</w:t>
      </w:r>
      <w:r>
        <w:rPr>
          <w:rFonts w:hint="eastAsia" w:ascii="Times New Roman" w:hAnsi="Times New Roman" w:eastAsia="宋体" w:cs="Times New Roman"/>
          <w:sz w:val="24"/>
        </w:rPr>
        <w:t>.</w:t>
      </w:r>
    </w:p>
    <w:p w14:paraId="745D63D5">
      <w:pPr>
        <w:spacing w:line="360" w:lineRule="auto"/>
        <w:rPr>
          <w:rFonts w:hint="eastAsia" w:ascii="Times New Roman" w:hAnsi="Times New Roman" w:eastAsia="宋体" w:cs="Times New Roman"/>
          <w:sz w:val="24"/>
        </w:rPr>
      </w:pPr>
    </w:p>
    <w:p w14:paraId="77269BF0">
      <w:pPr>
        <w:spacing w:line="360" w:lineRule="auto"/>
        <w:rPr>
          <w:rFonts w:ascii="Times New Roman" w:hAnsi="Times New Roman" w:eastAsia="宋体" w:cs="Times New Roman"/>
          <w:sz w:val="24"/>
        </w:rPr>
      </w:pPr>
      <w:r>
        <w:rPr>
          <w:rFonts w:hint="eastAsia" w:ascii="Times New Roman" w:hAnsi="Times New Roman" w:eastAsia="宋体" w:cs="Times New Roman"/>
          <w:sz w:val="24"/>
        </w:rPr>
        <w:t>Figure 2. Correlation Analysis of Video Characteristics and Quality</w:t>
      </w:r>
    </w:p>
    <w:p w14:paraId="1364ED90">
      <w:pPr>
        <w:spacing w:line="360" w:lineRule="auto"/>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drawing>
          <wp:inline distT="0" distB="0" distL="114300" distR="114300">
            <wp:extent cx="5266055" cy="2331720"/>
            <wp:effectExtent l="0" t="0" r="1270" b="1905"/>
            <wp:docPr id="2" name="图片 2"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 2"/>
                    <pic:cNvPicPr>
                      <a:picLocks noChangeAspect="1"/>
                    </pic:cNvPicPr>
                  </pic:nvPicPr>
                  <pic:blipFill>
                    <a:blip r:embed="rId5"/>
                    <a:stretch>
                      <a:fillRect/>
                    </a:stretch>
                  </pic:blipFill>
                  <pic:spPr>
                    <a:xfrm>
                      <a:off x="0" y="0"/>
                      <a:ext cx="5266055" cy="2331720"/>
                    </a:xfrm>
                    <a:prstGeom prst="rect">
                      <a:avLst/>
                    </a:prstGeom>
                  </pic:spPr>
                </pic:pic>
              </a:graphicData>
            </a:graphic>
          </wp:inline>
        </w:drawing>
      </w:r>
    </w:p>
    <w:p w14:paraId="07B75906">
      <w:pPr>
        <w:spacing w:line="360" w:lineRule="auto"/>
        <w:rPr>
          <w:rFonts w:hint="eastAsia" w:ascii="Times New Roman" w:hAnsi="Times New Roman" w:cs="Times New Roman"/>
          <w:sz w:val="24"/>
        </w:rPr>
      </w:pPr>
    </w:p>
    <w:p w14:paraId="09A7F803">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Discussion</w:t>
      </w:r>
    </w:p>
    <w:p w14:paraId="2E5B1F39">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DDH remains a major pediatric orthopedic concern, highlighting the need for reliable parental education and early intervention. This study evaluated the quality of DDH-related health information on TikTok and Bilibili, analyzing 125 videos to explore content characteristics, authorship, and engagement. Author professionalism and video duration were positively associated with higher Global Quality Score (GQS) and modified DISCERN (mDISCERN) ratings, while user engagement metrics often correlated negatively with quality, revealing a gap between popularity and scientific accuracy.</w:t>
      </w:r>
    </w:p>
    <w:p w14:paraId="72BF549F">
      <w:pPr>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TikTok videos were generally shorter and more numerous, primarily created by individual medical professionals, focusing on case reports. Bilibili featured longer, more detailed videos, often from diverse creators, including institutions using animations to enhance comprehension</w:t>
      </w:r>
      <w:r>
        <w:rPr>
          <w:rFonts w:ascii="Times New Roman" w:hAnsi="Times New Roman" w:eastAsia="宋体" w:cs="Times New Roman"/>
          <w:sz w:val="24"/>
        </w:rPr>
        <w:fldChar w:fldCharType="begin"/>
      </w:r>
      <w:r>
        <w:rPr>
          <w:rFonts w:hint="eastAsia" w:ascii="Times New Roman" w:hAnsi="Times New Roman" w:eastAsia="宋体" w:cs="Times New Roman"/>
          <w:sz w:val="24"/>
          <w:lang w:eastAsia="zh-CN"/>
        </w:rPr>
        <w:instrText xml:space="preserve"> ADDIN EN.CITE </w:instrText>
      </w:r>
      <w:r>
        <w:rPr>
          <w:rFonts w:hint="eastAsia" w:ascii="Times New Roman" w:hAnsi="Times New Roman" w:eastAsia="宋体" w:cs="Times New Roman"/>
          <w:sz w:val="24"/>
          <w:lang w:eastAsia="zh-CN"/>
        </w:rPr>
        <w:fldChar w:fldCharType="begin">
          <w:fldData xml:space="preserve">PEVuZE5vdGU+PENpdGU+PEF1dGhvcj5MaWFuZzwvQXV0aG9yPjxZZWFyPjIwMjQ8L1llYXI+PFJl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==
</w:fldData>
        </w:fldChar>
      </w:r>
      <w:r>
        <w:rPr>
          <w:rFonts w:hint="eastAsia" w:ascii="Times New Roman" w:hAnsi="Times New Roman" w:eastAsia="宋体" w:cs="Times New Roman"/>
          <w:sz w:val="24"/>
          <w:lang w:eastAsia="zh-CN"/>
        </w:rPr>
        <w:instrText xml:space="preserve"> ADDIN EN.CITE.DATA </w:instrText>
      </w:r>
      <w:r>
        <w:rPr>
          <w:rFonts w:hint="eastAsia" w:ascii="Times New Roman" w:hAnsi="Times New Roman" w:eastAsia="宋体" w:cs="Times New Roman"/>
          <w:sz w:val="24"/>
          <w:lang w:eastAsia="zh-CN"/>
        </w:rPr>
        <w:fldChar w:fldCharType="separate"/>
      </w:r>
      <w:r>
        <w:rPr>
          <w:rFonts w:hint="eastAsia" w:ascii="Times New Roman" w:hAnsi="Times New Roman" w:eastAsia="宋体" w:cs="Times New Roman"/>
          <w:sz w:val="24"/>
          <w:lang w:eastAsia="zh-CN"/>
        </w:rPr>
        <w:fldChar w:fldCharType="end"/>
      </w:r>
      <w:r>
        <w:rPr>
          <w:rFonts w:ascii="Times New Roman" w:hAnsi="Times New Roman" w:eastAsia="宋体" w:cs="Times New Roman"/>
          <w:sz w:val="24"/>
        </w:rPr>
        <w:fldChar w:fldCharType="separate"/>
      </w:r>
      <w:r>
        <w:rPr>
          <w:rFonts w:hint="eastAsia" w:ascii="Times New Roman" w:hAnsi="Times New Roman" w:eastAsia="宋体" w:cs="Times New Roman"/>
          <w:kern w:val="2"/>
          <w:sz w:val="24"/>
          <w:szCs w:val="24"/>
          <w:lang w:val="en-US" w:eastAsia="zh-CN" w:bidi="ar-SA"/>
        </w:rPr>
        <w:t>[7, 8]</w:t>
      </w:r>
      <w:r>
        <w:rPr>
          <w:rFonts w:ascii="Times New Roman" w:hAnsi="Times New Roman" w:eastAsia="宋体" w:cs="Times New Roman"/>
          <w:sz w:val="24"/>
        </w:rPr>
        <w:fldChar w:fldCharType="end"/>
      </w:r>
      <w:r>
        <w:rPr>
          <w:rFonts w:ascii="Times New Roman" w:hAnsi="Times New Roman" w:eastAsia="宋体" w:cs="Times New Roman"/>
          <w:sz w:val="24"/>
        </w:rPr>
        <w:t>.</w:t>
      </w:r>
      <w:r>
        <w:rPr>
          <w:rFonts w:hint="eastAsia" w:ascii="Times New Roman" w:hAnsi="Times New Roman" w:eastAsia="宋体" w:cs="Times New Roman"/>
          <w:sz w:val="24"/>
          <w:lang w:val="en-US" w:eastAsia="zh-CN"/>
        </w:rPr>
        <w:t xml:space="preserve"> Professional authorship emerged as the strongest predictor of quality, consistent with prior studies on health communication credibility</w:t>
      </w:r>
      <w:r>
        <w:rPr>
          <w:rFonts w:ascii="Times New Roman" w:hAnsi="Times New Roman" w:eastAsia="宋体" w:cs="Times New Roman"/>
          <w:sz w:val="24"/>
        </w:rPr>
        <w:fldChar w:fldCharType="begin">
          <w:fldData xml:space="preserve">PEVuZE5vdGU+PENpdGU+PEF1dGhvcj5TaGk8L0F1dGhvcj48WWVhcj4yMDIzPC9ZZWFyPjxSZWNO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</w:fldData>
        </w:fldChar>
      </w:r>
      <w:r>
        <w:rPr>
          <w:rFonts w:hint="eastAsia" w:ascii="Times New Roman" w:hAnsi="Times New Roman" w:eastAsia="宋体" w:cs="Times New Roman"/>
          <w:sz w:val="24"/>
        </w:rPr>
        <w:instrText xml:space="preserve"> ADDIN EN.CITE </w:instrText>
      </w:r>
      <w:r>
        <w:rPr>
          <w:rFonts w:hint="eastAsia" w:ascii="Times New Roman" w:hAnsi="Times New Roman" w:eastAsia="宋体" w:cs="Times New Roman"/>
          <w:sz w:val="24"/>
        </w:rPr>
        <w:fldChar w:fldCharType="begin">
          <w:fldData xml:space="preserve">PEVuZE5vdGU+PENpdGU+PEF1dGhvcj5TaGk8L0F1dGhvcj48WWVhcj4yMDIzPC9ZZWFyPjxSZWNO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</w:fldData>
        </w:fldChar>
      </w:r>
      <w:r>
        <w:rPr>
          <w:rFonts w:hint="eastAsia" w:ascii="Times New Roman" w:hAnsi="Times New Roman" w:eastAsia="宋体" w:cs="Times New Roman"/>
          <w:sz w:val="24"/>
        </w:rPr>
        <w:instrText xml:space="preserve"> ADDIN EN.CITE.DATA </w:instrText>
      </w:r>
      <w:r>
        <w:rPr>
          <w:rFonts w:ascii="Times New Roman" w:hAnsi="Times New Roman" w:eastAsia="宋体" w:cs="Times New Roman"/>
          <w:sz w:val="24"/>
        </w:rPr>
        <w:fldChar w:fldCharType="separate"/>
      </w:r>
      <w:r>
        <w:rPr>
          <w:rFonts w:hint="eastAsia" w:ascii="Times New Roman" w:hAnsi="Times New Roman" w:eastAsia="宋体" w:cs="Times New Roman"/>
          <w:sz w:val="24"/>
        </w:rPr>
        <w:fldChar w:fldCharType="end"/>
      </w:r>
      <w:r>
        <w:rPr>
          <w:rFonts w:ascii="Times New Roman" w:hAnsi="Times New Roman" w:eastAsia="宋体" w:cs="Times New Roman"/>
          <w:sz w:val="24"/>
        </w:rPr>
        <w:fldChar w:fldCharType="separate"/>
      </w:r>
      <w:r>
        <w:rPr>
          <w:rFonts w:hint="eastAsia" w:ascii="Times New Roman" w:hAnsi="Times New Roman" w:eastAsia="宋体" w:cs="Times New Roman"/>
          <w:sz w:val="24"/>
        </w:rPr>
        <w:t>[9]</w:t>
      </w:r>
      <w:r>
        <w:rPr>
          <w:rFonts w:ascii="Times New Roman" w:hAnsi="Times New Roman" w:eastAsia="宋体" w:cs="Times New Roman"/>
          <w:sz w:val="24"/>
        </w:rPr>
        <w:fldChar w:fldCharType="end"/>
      </w:r>
      <w:r>
        <w:rPr>
          <w:rFonts w:hint="eastAsia" w:ascii="Times New Roman" w:hAnsi="Times New Roman" w:eastAsia="宋体" w:cs="Times New Roman"/>
          <w:sz w:val="24"/>
          <w:lang w:val="en-US" w:eastAsia="zh-CN"/>
        </w:rPr>
        <w:t>.</w:t>
      </w:r>
    </w:p>
    <w:p w14:paraId="2CC296AC">
      <w:pPr>
        <w:spacing w:line="360" w:lineRule="auto"/>
        <w:rPr>
          <w:rFonts w:ascii="Times New Roman" w:hAnsi="Times New Roman" w:eastAsia="宋体" w:cs="Times New Roman"/>
          <w:sz w:val="24"/>
        </w:rPr>
      </w:pPr>
      <w:r>
        <w:rPr>
          <w:rFonts w:hint="eastAsia" w:ascii="Times New Roman" w:hAnsi="Times New Roman" w:eastAsia="宋体" w:cs="Times New Roman"/>
          <w:sz w:val="24"/>
        </w:rPr>
        <w:t>A negative correlation between engagement and quality suggests that viral content may prioritize entertainment over accuracy, posing risks for misinformation</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Such variability underscores the double-edged nature of short video platforms in health education</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Strengthening expert participation, improving content oversight, and promoting evidence-based health communication are essential to enhance the reliability of DDH-related online information and support informed parental decision-making</w:t>
      </w:r>
      <w:r>
        <w:rPr>
          <w:rFonts w:ascii="Times New Roman" w:hAnsi="Times New Roman" w:eastAsia="宋体" w:cs="Times New Roman"/>
          <w:sz w:val="24"/>
        </w:rPr>
        <w:fldChar w:fldCharType="begin"/>
      </w:r>
      <w:r>
        <w:rPr>
          <w:rFonts w:hint="eastAsia" w:ascii="Times New Roman" w:hAnsi="Times New Roman" w:eastAsia="宋体" w:cs="Times New Roman"/>
          <w:sz w:val="24"/>
          <w:lang w:eastAsia="zh-CN"/>
        </w:rPr>
        <w:instrText xml:space="preserve"> ADDIN EN.CITE &lt;EndNote&gt;&lt;Cite&gt;&lt;Author&gt;Guan&lt;/Author&gt;&lt;Year&gt;2024&lt;/Year&gt;&lt;RecNum&gt;45&lt;/RecNum&gt;&lt;DisplayText&gt;[10]&lt;/DisplayText&gt;&lt;record&gt;&lt;rec-number&gt;45&lt;/rec-number&gt;&lt;foreign-keys&gt;&lt;key app="EN" db-id="dz50ewadwwsdfressrsxsvslawavtexz99sd" timestamp="1758167420"&gt;45&lt;/key&gt;&lt;/foreign-keys&gt;&lt;ref-type name="Journal Article"&gt;17&lt;/ref-type&gt;&lt;contributors&gt;&lt;authors&gt;&lt;author&gt;Guan, J. L.&lt;/author&gt;&lt;author&gt;Xia, S. H.&lt;/author&gt;&lt;author&gt;Zhao, K.&lt;/author&gt;&lt;author&gt;Feng, L. N.&lt;/author&gt;&lt;author&gt;Han, Y. Y.&lt;/author&gt;&lt;author&gt;Li, J. Y.&lt;/author&gt;&lt;author&gt;Liao, J. Z.&lt;/author&gt;&lt;author&gt;Li, P. Y.&lt;/author&gt;&lt;/authors&gt;&lt;/contributors&gt;&lt;auth-address&gt;Department of Gastroenterology, Tongji Hospital, Tongji Medical College, Huazhong University of Science and Technology, Wuhan, China.&amp;#xD;Department of Gastroenterology, Wenchang People&amp;apos;s Hospital, Wenchang, China.&lt;/auth-address&gt;&lt;titles&gt;&lt;title&gt;Videos in Short-Video Sharing Platforms as Sources of Information on Colorectal Polyps: Cross-Sectional Content Analysis Study&lt;/title&gt;&lt;secondary-title&gt;J Med Internet Res&lt;/secondary-title&gt;&lt;/titles&gt;&lt;periodical&gt;&lt;full-title&gt;J Med Internet Res&lt;/full-title&gt;&lt;/periodical&gt;&lt;pages&gt;e51655&lt;/pages&gt;&lt;volume&gt;26&lt;/volume&gt;&lt;edition&gt;2024/10/29&lt;/edition&gt;&lt;keywords&gt;&lt;keyword&gt;Humans&lt;/keyword&gt;&lt;keyword&gt;Cross-Sectional Studies&lt;/keyword&gt;&lt;keyword&gt;*Video Recording&lt;/keyword&gt;&lt;keyword&gt;*Information Dissemination/methods&lt;/keyword&gt;&lt;keyword&gt;*Colonic Polyps&lt;/keyword&gt;&lt;keyword&gt;Intestinal Polyps&lt;/keyword&gt;&lt;keyword&gt;Information Sources&lt;/keyword&gt;&lt;keyword&gt;colorectal polyps&lt;/keyword&gt;&lt;keyword&gt;health information&lt;/keyword&gt;&lt;keyword&gt;quality assessment&lt;/keyword&gt;&lt;keyword&gt;reliability&lt;/keyword&gt;&lt;keyword&gt;short videos&lt;/keyword&gt;&lt;/keywords&gt;&lt;dates&gt;&lt;year&gt;2024&lt;/year&gt;&lt;pub-dates&gt;&lt;date&gt;Oct 29&lt;/date&gt;&lt;/pub-dates&gt;&lt;/dates&gt;&lt;isbn&gt;1438-8871 (Electronic)&amp;#xD;1439-4456 (Print)&amp;#xD;1438-8871 (Linking)&lt;/isbn&gt;&lt;accession-num&gt;39470708&lt;/accession-num&gt;&lt;urls&gt;&lt;related-urls&gt;&lt;url&gt;https://www.ncbi.nlm.nih.gov/pubmed/39470708&lt;/url&gt;&lt;/related-urls&gt;&lt;/urls&gt;&lt;custom2&gt;PMC11558218&lt;/custom2&gt;&lt;electronic-resource-num&gt;10.2196/51655&lt;/electronic-resource-num&gt;&lt;/record&gt;&lt;/Cite&gt;&lt;/EndNote&gt;</w:instrText>
      </w:r>
      <w:r>
        <w:rPr>
          <w:rFonts w:ascii="Times New Roman" w:hAnsi="Times New Roman" w:eastAsia="宋体" w:cs="Times New Roman"/>
          <w:sz w:val="24"/>
        </w:rPr>
        <w:fldChar w:fldCharType="separate"/>
      </w:r>
      <w:r>
        <w:rPr>
          <w:rFonts w:hint="eastAsia" w:ascii="Times New Roman" w:hAnsi="Times New Roman" w:eastAsia="宋体" w:cs="Times New Roman"/>
          <w:kern w:val="2"/>
          <w:sz w:val="24"/>
          <w:szCs w:val="24"/>
          <w:lang w:val="en-US" w:eastAsia="zh-CN" w:bidi="ar-SA"/>
        </w:rPr>
        <w:t>[10]</w:t>
      </w:r>
      <w:r>
        <w:rPr>
          <w:rFonts w:ascii="Times New Roman" w:hAnsi="Times New Roman" w:eastAsia="宋体" w:cs="Times New Roman"/>
          <w:sz w:val="24"/>
        </w:rPr>
        <w:fldChar w:fldCharType="end"/>
      </w:r>
      <w:r>
        <w:rPr>
          <w:rFonts w:ascii="Times New Roman" w:hAnsi="Times New Roman" w:eastAsia="宋体" w:cs="Times New Roman"/>
          <w:sz w:val="24"/>
        </w:rPr>
        <w:t>.</w:t>
      </w:r>
    </w:p>
    <w:p w14:paraId="401B2046">
      <w:pPr>
        <w:spacing w:line="360" w:lineRule="auto"/>
        <w:rPr>
          <w:rFonts w:ascii="Times New Roman" w:hAnsi="Times New Roman" w:eastAsia="宋体" w:cs="Times New Roman"/>
          <w:sz w:val="24"/>
        </w:rPr>
      </w:pPr>
    </w:p>
    <w:p w14:paraId="6BB1E476">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Conclusion</w:t>
      </w:r>
    </w:p>
    <w:p w14:paraId="7E8ED091">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Our findings reveal that while short video platforms like TikTok and Bilibili have the potential to disseminate health information widely, the quality of content varies significantly. Author professionalism and video length are critical factors in determining content reliability, whereas popular videos often lack scientific rigor. These results emphasize the need for improved quality control and professional oversight in the creation of health content on social media platforms.</w:t>
      </w:r>
    </w:p>
    <w:p w14:paraId="1EE71CBD">
      <w:pPr>
        <w:spacing w:line="360" w:lineRule="auto"/>
        <w:rPr>
          <w:rFonts w:hint="eastAsia" w:ascii="Times New Roman" w:hAnsi="Times New Roman" w:eastAsia="宋体" w:cs="Times New Roman"/>
          <w:sz w:val="24"/>
        </w:rPr>
      </w:pPr>
    </w:p>
    <w:p w14:paraId="00EDD4DD">
      <w:pPr>
        <w:spacing w:line="360" w:lineRule="auto"/>
        <w:rPr>
          <w:rFonts w:hint="eastAsia" w:ascii="Times New Roman" w:hAnsi="Times New Roman" w:eastAsia="宋体" w:cs="Times New Roman"/>
          <w:b/>
          <w:bCs/>
          <w:sz w:val="24"/>
        </w:rPr>
      </w:pPr>
      <w:r>
        <w:rPr>
          <w:rFonts w:hint="eastAsia" w:ascii="Times New Roman" w:hAnsi="Times New Roman" w:eastAsia="宋体" w:cs="Times New Roman"/>
          <w:b/>
          <w:bCs/>
          <w:sz w:val="24"/>
        </w:rPr>
        <w:t>Data Availability Statements</w:t>
      </w:r>
    </w:p>
    <w:p w14:paraId="18CF3175">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The social media data involved in this study were extracted from Bilibili (https://www.bilibili.com) and Tiktok (https://www.douyin.com) websites. The author confirms that all data generated or analysed during this study are included in this published article.</w:t>
      </w:r>
    </w:p>
    <w:p w14:paraId="7EB0B78A">
      <w:pPr>
        <w:spacing w:line="360" w:lineRule="auto"/>
        <w:rPr>
          <w:rFonts w:hint="eastAsia" w:ascii="Times New Roman" w:hAnsi="Times New Roman" w:eastAsia="宋体" w:cs="Times New Roman"/>
          <w:sz w:val="24"/>
        </w:rPr>
      </w:pPr>
    </w:p>
    <w:p w14:paraId="25554538">
      <w:pPr>
        <w:spacing w:line="480" w:lineRule="auto"/>
        <w:rPr>
          <w:rFonts w:ascii="Times New Roman" w:hAnsi="Times New Roman" w:eastAsia="宋体" w:cs="Times New Roman"/>
          <w:b/>
          <w:bCs/>
          <w:sz w:val="24"/>
        </w:rPr>
      </w:pPr>
      <w:r>
        <w:rPr>
          <w:rFonts w:hint="eastAsia" w:ascii="Times New Roman" w:hAnsi="Times New Roman" w:eastAsia="宋体" w:cs="Times New Roman"/>
          <w:b/>
          <w:bCs/>
          <w:sz w:val="24"/>
        </w:rPr>
        <w:t>Ethics approval and consent to participate</w:t>
      </w:r>
    </w:p>
    <w:p w14:paraId="141D7028">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This study was a cross-sectional analysis of publicly available short videos on TikTok and Bilibili. All data were collected from the public domain and were fully anonymized before analysis. The research did not involve any direct interaction with human participants, nor did it collect or use any private or personally identifiable information. According to the institutional guidelines of Nanjing Medical University, research based exclusively on publicly available data does not require formal ethics approval from an Institutional Review Board (IRB). Therefore, ethics approval was not applicable for this study. Similarly, as no human participants were recruited, the requirement for informed consent was also not applicable. The study was conducted in accordance with relevant ethical guidelines for internet-based research.</w:t>
      </w:r>
    </w:p>
    <w:p w14:paraId="450B02EB">
      <w:pPr>
        <w:spacing w:line="480" w:lineRule="auto"/>
        <w:rPr>
          <w:rFonts w:ascii="Times New Roman" w:hAnsi="Times New Roman" w:eastAsia="宋体" w:cs="Times New Roman"/>
          <w:sz w:val="24"/>
        </w:rPr>
      </w:pPr>
    </w:p>
    <w:p w14:paraId="652FADD3">
      <w:pPr>
        <w:spacing w:line="480" w:lineRule="auto"/>
        <w:rPr>
          <w:rFonts w:hint="eastAsia" w:ascii="Times New Roman" w:hAnsi="Times New Roman" w:eastAsia="宋体" w:cs="Times New Roman"/>
          <w:b/>
          <w:bCs/>
          <w:sz w:val="24"/>
        </w:rPr>
      </w:pPr>
      <w:r>
        <w:rPr>
          <w:rFonts w:hint="eastAsia" w:ascii="Times New Roman" w:hAnsi="Times New Roman" w:eastAsia="宋体" w:cs="Times New Roman"/>
          <w:b/>
          <w:bCs/>
          <w:sz w:val="24"/>
        </w:rPr>
        <w:t>Acknowledgement</w:t>
      </w:r>
    </w:p>
    <w:p w14:paraId="3DADC3BD">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 xml:space="preserve">The authors would like to express their gratitude to the video uploaders for their contributions to public health, as well as to the experts from the Department of Medical Statistics at Nanjing Medical University for their review and assistance in the data analysis of this study. The funding for this study was provided by Children’s Hospital of Nanjing Medical University Incubation Projects (ZHQFH2025004) and General Project of Science and Technology of Nanjing Medical University (NMUB20220023). </w:t>
      </w:r>
    </w:p>
    <w:p w14:paraId="3504AC4C">
      <w:pPr>
        <w:spacing w:line="480" w:lineRule="auto"/>
        <w:rPr>
          <w:rFonts w:hint="eastAsia" w:ascii="Times New Roman" w:hAnsi="Times New Roman" w:eastAsia="宋体" w:cs="Times New Roman"/>
          <w:sz w:val="24"/>
        </w:rPr>
      </w:pPr>
    </w:p>
    <w:p w14:paraId="5CB58A1C">
      <w:pPr>
        <w:spacing w:line="480" w:lineRule="auto"/>
        <w:rPr>
          <w:rFonts w:ascii="Times New Roman" w:hAnsi="Times New Roman" w:eastAsia="宋体" w:cs="Times New Roman"/>
          <w:b/>
          <w:bCs/>
          <w:sz w:val="24"/>
        </w:rPr>
      </w:pPr>
      <w:r>
        <w:rPr>
          <w:rFonts w:ascii="Times New Roman" w:hAnsi="Times New Roman" w:eastAsia="宋体" w:cs="Times New Roman"/>
          <w:b/>
          <w:bCs/>
          <w:sz w:val="24"/>
        </w:rPr>
        <w:t>Conflicts of interest</w:t>
      </w:r>
    </w:p>
    <w:p w14:paraId="3B803D4C">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The authors have no conflicts of interest to declare.</w:t>
      </w:r>
    </w:p>
    <w:p w14:paraId="2BB0C92E">
      <w:pPr>
        <w:spacing w:line="480" w:lineRule="auto"/>
        <w:rPr>
          <w:rFonts w:ascii="Times New Roman" w:hAnsi="Times New Roman" w:eastAsia="宋体" w:cs="Times New Roman"/>
          <w:sz w:val="24"/>
        </w:rPr>
      </w:pPr>
    </w:p>
    <w:p w14:paraId="5EC254E1">
      <w:pPr>
        <w:spacing w:line="480" w:lineRule="auto"/>
        <w:rPr>
          <w:rFonts w:hint="eastAsia" w:ascii="Times New Roman" w:hAnsi="Times New Roman" w:eastAsia="宋体" w:cs="Times New Roman"/>
          <w:b/>
          <w:bCs/>
          <w:sz w:val="24"/>
        </w:rPr>
      </w:pPr>
      <w:r>
        <w:rPr>
          <w:rFonts w:hint="eastAsia" w:ascii="Times New Roman" w:hAnsi="Times New Roman" w:eastAsia="宋体" w:cs="Times New Roman"/>
          <w:b/>
          <w:bCs/>
          <w:sz w:val="24"/>
        </w:rPr>
        <w:t>Author Contributions</w:t>
      </w:r>
    </w:p>
    <w:p w14:paraId="50C34E76">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Conceptualization, P.Y.; methodology, P.Y.; software, P.Y.; validation, P.Y., Y.T. and L.H.; formal analysis, L.H.; investigation, P.Y.; resources, P.Y.; data curation, P.Y.; writing—original draft preparation, P.Y.; writing—review and editing, L.H.; visualization, Y.T.; supervision, L.H.; project administration, L.H.; funding acquisition, L.H. All authors have read and agreed to the published version of the manuscript.</w:t>
      </w:r>
    </w:p>
    <w:p w14:paraId="4CD1369E">
      <w:pPr>
        <w:spacing w:line="360" w:lineRule="auto"/>
        <w:rPr>
          <w:rFonts w:hint="eastAsia" w:ascii="Times New Roman" w:hAnsi="Times New Roman" w:eastAsia="宋体" w:cs="Times New Roman"/>
          <w:sz w:val="24"/>
        </w:rPr>
      </w:pPr>
    </w:p>
    <w:p w14:paraId="7CB9DA9B">
      <w:pPr>
        <w:spacing w:line="360" w:lineRule="auto"/>
        <w:rPr>
          <w:rFonts w:ascii="Times New Roman" w:hAnsi="Times New Roman" w:eastAsia="宋体" w:cs="Times New Roman"/>
          <w:sz w:val="24"/>
        </w:rPr>
      </w:pPr>
    </w:p>
    <w:p w14:paraId="0F9B8C73">
      <w:pPr>
        <w:spacing w:line="360" w:lineRule="auto"/>
        <w:rPr>
          <w:rFonts w:ascii="Times New Roman" w:hAnsi="Times New Roman" w:eastAsia="宋体" w:cs="Times New Roman"/>
          <w:sz w:val="24"/>
        </w:rPr>
      </w:pPr>
    </w:p>
    <w:p w14:paraId="68AE7110">
      <w:pPr>
        <w:spacing w:line="360" w:lineRule="auto"/>
        <w:rPr>
          <w:rFonts w:ascii="Times New Roman" w:hAnsi="Times New Roman" w:eastAsia="宋体" w:cs="Times New Roman"/>
          <w:sz w:val="24"/>
        </w:rPr>
      </w:pPr>
    </w:p>
    <w:p w14:paraId="106A9ACB">
      <w:pPr>
        <w:spacing w:line="360" w:lineRule="auto"/>
        <w:rPr>
          <w:rFonts w:ascii="Times New Roman" w:hAnsi="Times New Roman" w:eastAsia="宋体" w:cs="Times New Roman"/>
          <w:sz w:val="24"/>
        </w:rPr>
      </w:pPr>
    </w:p>
    <w:p w14:paraId="4AC7DBE2">
      <w:pPr>
        <w:spacing w:line="360" w:lineRule="auto"/>
        <w:rPr>
          <w:rFonts w:ascii="Times New Roman" w:hAnsi="Times New Roman" w:eastAsia="宋体" w:cs="Times New Roman"/>
          <w:sz w:val="24"/>
        </w:rPr>
      </w:pPr>
    </w:p>
    <w:p w14:paraId="18DC62A2">
      <w:pPr>
        <w:spacing w:line="360" w:lineRule="auto"/>
        <w:rPr>
          <w:rFonts w:ascii="Times New Roman" w:hAnsi="Times New Roman" w:eastAsia="宋体" w:cs="Times New Roman"/>
          <w:sz w:val="24"/>
        </w:rPr>
      </w:pPr>
    </w:p>
    <w:p w14:paraId="12B9D3A7">
      <w:pPr>
        <w:spacing w:line="360" w:lineRule="auto"/>
        <w:rPr>
          <w:rFonts w:ascii="Times New Roman" w:hAnsi="Times New Roman" w:eastAsia="宋体" w:cs="Times New Roman"/>
          <w:sz w:val="24"/>
        </w:rPr>
      </w:pPr>
    </w:p>
    <w:p w14:paraId="5C22E067">
      <w:pPr>
        <w:spacing w:line="360" w:lineRule="auto"/>
        <w:rPr>
          <w:rFonts w:ascii="Times New Roman" w:hAnsi="Times New Roman" w:eastAsia="宋体" w:cs="Times New Roman"/>
          <w:sz w:val="24"/>
        </w:rPr>
      </w:pPr>
    </w:p>
    <w:p w14:paraId="1EB220C6">
      <w:pPr>
        <w:spacing w:line="360" w:lineRule="auto"/>
        <w:rPr>
          <w:rFonts w:ascii="Times New Roman" w:hAnsi="Times New Roman" w:eastAsia="宋体" w:cs="Times New Roman"/>
          <w:sz w:val="24"/>
        </w:rPr>
      </w:pPr>
    </w:p>
    <w:p w14:paraId="72CA45EC">
      <w:pPr>
        <w:spacing w:line="360" w:lineRule="auto"/>
        <w:rPr>
          <w:rFonts w:ascii="Times New Roman" w:hAnsi="Times New Roman" w:eastAsia="宋体" w:cs="Times New Roman"/>
          <w:sz w:val="24"/>
        </w:rPr>
      </w:pPr>
      <w:r>
        <w:rPr>
          <w:rFonts w:ascii="Times New Roman" w:hAnsi="Times New Roman" w:eastAsia="宋体" w:cs="Times New Roman"/>
          <w:b/>
          <w:bCs/>
          <w:sz w:val="24"/>
        </w:rPr>
        <w:t>References</w:t>
      </w:r>
    </w:p>
    <w:p w14:paraId="70A73CDB">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ADDIN EN.REFLIST </w:instrText>
      </w:r>
      <w:r>
        <w:rPr>
          <w:rFonts w:hint="default" w:ascii="Times New Roman" w:hAnsi="Times New Roman" w:eastAsia="宋体" w:cs="Times New Roman"/>
          <w:sz w:val="22"/>
          <w:szCs w:val="22"/>
        </w:rPr>
        <w:fldChar w:fldCharType="separate"/>
      </w:r>
      <w:r>
        <w:rPr>
          <w:rFonts w:hint="default" w:ascii="Times New Roman" w:hAnsi="Times New Roman" w:cs="Times New Roman" w:eastAsiaTheme="minorEastAsia"/>
          <w:kern w:val="2"/>
          <w:sz w:val="22"/>
          <w:szCs w:val="22"/>
          <w:lang w:val="en-US" w:eastAsia="zh-CN" w:bidi="ar-SA"/>
        </w:rPr>
        <w:t>1</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Tao Z, Wang J, Li Y, et al. Prevalence of developmental dysplasia of the hip (DDH) in infants: a systematic review and meta-analysis. BMJ Paediatr Open. 2023 Oct;7(1).</w:t>
      </w:r>
    </w:p>
    <w:p w14:paraId="68639078">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2</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Vaquero-Picado A, Gonzalez-Moran G, Garay EG, Moraleda L. Developmental dysplasia of the hip: update of management. EFORT Open Rev. 2019 Sep;4(9):548-56.</w:t>
      </w:r>
    </w:p>
    <w:p w14:paraId="3B5D84C0">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3</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Zhang J, Yuan J, Zhang D, et al. Short video platforms as sources of health information about cervical cancer: A content and quality analysis. PLoS One. 2024;19(3):e0300180.</w:t>
      </w:r>
    </w:p>
    <w:p w14:paraId="38F48623">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4</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Li B, Liu M, Liu J, Zhang Y, Yang W, Xie L. Quality assessment of health science-related short videos on TikTok: A scoping review. Int J Med Inform. 2024 Jun;186:105426.</w:t>
      </w:r>
    </w:p>
    <w:p w14:paraId="6D65F3CF">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5</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Lock AM, Baker JF. Quality of YouTube videos for three common pediatric hip conditions: developmental hip dysplasia, slipped capital femoral epiphysis and Legg-Calve-Perthes disease. J Pediatr Orthop B. 2022 Nov 1;31(6):546-53.</w:t>
      </w:r>
    </w:p>
    <w:p w14:paraId="45947C16">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6</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Liu Z, Chen Y, Lin Y, et al. YouTube/ Bilibili/ TikTok videos as sources of medical information on laryngeal carcinoma: cross-sectional content analysis study. BMC Public Health. 2024 Jun 14;24(1):1594.</w:t>
      </w:r>
    </w:p>
    <w:p w14:paraId="7E619DE7">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7</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Liang Y, Xia J, Huo W, et al. Video Quality Assessment and Analysis of Gastroesophageal Reflux Disease on TikTok and Bilibili: Cross-Sectional Study. J Multidiscip Healthc. 2024;17:5927-39.</w:t>
      </w:r>
    </w:p>
    <w:p w14:paraId="7012D673">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8</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Lim MSC, Molenaar A, Brennan L, Reid M, McCaffrey T. Young Adults' Use of Different Social Media Platforms for Health Information: Insights From Web-Based Conversations. J Med Internet Res. 2022 Jan 18;24(1):e23656.</w:t>
      </w:r>
    </w:p>
    <w:p w14:paraId="6B1EE18B">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9</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Shi A, El Haddad J, Cai P, et al. Mpox (monkeypox) information on TikTok: analysis of quality and audience engagement. BMJ Glob Health. 2023 Mar;8(3).</w:t>
      </w:r>
    </w:p>
    <w:p w14:paraId="51437FEB">
      <w:pPr>
        <w:pStyle w:val="13"/>
        <w:bidi w:val="0"/>
        <w:spacing w:line="360" w:lineRule="auto"/>
        <w:ind w:left="0" w:firstLine="0"/>
        <w:rPr>
          <w:rFonts w:hint="default" w:ascii="Times New Roman" w:hAnsi="Times New Roman" w:cs="Times New Roman" w:eastAsiaTheme="minorEastAsia"/>
          <w:kern w:val="2"/>
          <w:sz w:val="22"/>
          <w:szCs w:val="22"/>
          <w:lang w:val="en-US" w:eastAsia="zh-CN" w:bidi="ar-SA"/>
        </w:rPr>
      </w:pPr>
      <w:r>
        <w:rPr>
          <w:rFonts w:hint="default" w:ascii="Times New Roman" w:hAnsi="Times New Roman" w:cs="Times New Roman" w:eastAsiaTheme="minorEastAsia"/>
          <w:kern w:val="2"/>
          <w:sz w:val="22"/>
          <w:szCs w:val="22"/>
          <w:lang w:val="en-US" w:eastAsia="zh-CN" w:bidi="ar-SA"/>
        </w:rPr>
        <w:t>10</w:t>
      </w:r>
      <w:r>
        <w:rPr>
          <w:rFonts w:hint="default" w:ascii="Times New Roman" w:hAnsi="Times New Roman" w:cs="Times New Roman" w:eastAsiaTheme="minorEastAsia"/>
          <w:kern w:val="2"/>
          <w:sz w:val="22"/>
          <w:szCs w:val="22"/>
          <w:lang w:val="en-US" w:eastAsia="zh-CN" w:bidi="ar-SA"/>
        </w:rPr>
        <w:tab/>
      </w:r>
      <w:r>
        <w:rPr>
          <w:rFonts w:hint="default" w:ascii="Times New Roman" w:hAnsi="Times New Roman" w:cs="Times New Roman" w:eastAsiaTheme="minorEastAsia"/>
          <w:kern w:val="2"/>
          <w:sz w:val="22"/>
          <w:szCs w:val="22"/>
          <w:lang w:val="en-US" w:eastAsia="zh-CN" w:bidi="ar-SA"/>
        </w:rPr>
        <w:t>Guan JL, Xia SH, Zhao K, et al. Videos in Short-Video Sharing Platforms as Sources of Information on Colorectal Polyps: Cross-Sectional Content Analysis Study. J Med Internet Res. 2024 Oct 29;26:e51655.</w:t>
      </w:r>
    </w:p>
    <w:p w14:paraId="41C14499">
      <w:pPr>
        <w:spacing w:line="360" w:lineRule="auto"/>
        <w:rPr>
          <w:rFonts w:ascii="Times New Roman" w:hAnsi="Times New Roman" w:eastAsia="宋体" w:cs="Times New Roman"/>
          <w:sz w:val="24"/>
        </w:rPr>
      </w:pPr>
      <w:r>
        <w:rPr>
          <w:rFonts w:hint="default" w:ascii="Times New Roman" w:hAnsi="Times New Roman" w:eastAsia="宋体" w:cs="Times New Roman"/>
          <w:sz w:val="22"/>
          <w:szCs w:val="22"/>
        </w:rPr>
        <w:fldChar w:fldCharType="end"/>
      </w:r>
    </w:p>
    <w:sectPr>
      <w:pgSz w:w="11906" w:h="16838"/>
      <w:pgMar w:top="1440" w:right="1800" w:bottom="1440" w:left="1800" w:header="851" w:footer="992" w:gutter="0"/>
      <w:lnNumType w:countBy="0"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Pediatric Orthopaedic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50ewadwwsdfressrsxsvslawavtexz99sd&quot;&gt;My EndNote Library&lt;record-ids&gt;&lt;item&gt;44&lt;/item&gt;&lt;item&gt;45&lt;/item&gt;&lt;item&gt;47&lt;/item&gt;&lt;item&gt;48&lt;/item&gt;&lt;item&gt;49&lt;/item&gt;&lt;item&gt;51&lt;/item&gt;&lt;item&gt;53&lt;/item&gt;&lt;item&gt;56&lt;/item&gt;&lt;item&gt;57&lt;/item&gt;&lt;item&gt;59&lt;/item&gt;&lt;/record-ids&gt;&lt;/item&gt;&lt;/Libraries&gt;"/>
  </w:docVars>
  <w:rsids>
    <w:rsidRoot w:val="005C5CDC"/>
    <w:rsid w:val="00012610"/>
    <w:rsid w:val="00045AE5"/>
    <w:rsid w:val="000B7A89"/>
    <w:rsid w:val="00161017"/>
    <w:rsid w:val="00263F80"/>
    <w:rsid w:val="002D4F21"/>
    <w:rsid w:val="003050A4"/>
    <w:rsid w:val="00345099"/>
    <w:rsid w:val="0037771E"/>
    <w:rsid w:val="00416BCA"/>
    <w:rsid w:val="00503D10"/>
    <w:rsid w:val="005C5CDC"/>
    <w:rsid w:val="00614EEB"/>
    <w:rsid w:val="00716B93"/>
    <w:rsid w:val="00815B43"/>
    <w:rsid w:val="00823E6D"/>
    <w:rsid w:val="008B3EA5"/>
    <w:rsid w:val="00944DA5"/>
    <w:rsid w:val="009859D8"/>
    <w:rsid w:val="00AD46C0"/>
    <w:rsid w:val="00AF67EE"/>
    <w:rsid w:val="00B872FF"/>
    <w:rsid w:val="00C24026"/>
    <w:rsid w:val="00C26A11"/>
    <w:rsid w:val="00CB7341"/>
    <w:rsid w:val="00CF5D92"/>
    <w:rsid w:val="00D1658D"/>
    <w:rsid w:val="00DA4381"/>
    <w:rsid w:val="00EA72E8"/>
    <w:rsid w:val="00FD2E1E"/>
    <w:rsid w:val="00FE0799"/>
    <w:rsid w:val="00FF0925"/>
    <w:rsid w:val="00FF25A2"/>
    <w:rsid w:val="013B4D07"/>
    <w:rsid w:val="01863CBC"/>
    <w:rsid w:val="022D0D0F"/>
    <w:rsid w:val="023A109F"/>
    <w:rsid w:val="0328400E"/>
    <w:rsid w:val="07C50D60"/>
    <w:rsid w:val="09417279"/>
    <w:rsid w:val="0FFB7896"/>
    <w:rsid w:val="117729BD"/>
    <w:rsid w:val="120C0D7A"/>
    <w:rsid w:val="12263178"/>
    <w:rsid w:val="1300260E"/>
    <w:rsid w:val="131B781D"/>
    <w:rsid w:val="14440E87"/>
    <w:rsid w:val="15134213"/>
    <w:rsid w:val="1525173B"/>
    <w:rsid w:val="1582456C"/>
    <w:rsid w:val="16120E44"/>
    <w:rsid w:val="19605585"/>
    <w:rsid w:val="1B697B68"/>
    <w:rsid w:val="1C0172F1"/>
    <w:rsid w:val="1CE736D3"/>
    <w:rsid w:val="1D9C4A3E"/>
    <w:rsid w:val="1DC13FCB"/>
    <w:rsid w:val="1DFF677A"/>
    <w:rsid w:val="1E380731"/>
    <w:rsid w:val="2059238D"/>
    <w:rsid w:val="21ED0E6F"/>
    <w:rsid w:val="27B02A3C"/>
    <w:rsid w:val="2AFD0BE7"/>
    <w:rsid w:val="2D155FC0"/>
    <w:rsid w:val="2FAE2B5F"/>
    <w:rsid w:val="31464BC5"/>
    <w:rsid w:val="32F4768E"/>
    <w:rsid w:val="337D7CD6"/>
    <w:rsid w:val="34CB34A7"/>
    <w:rsid w:val="35EE6609"/>
    <w:rsid w:val="3A410F2B"/>
    <w:rsid w:val="3B462B12"/>
    <w:rsid w:val="3C1F3D83"/>
    <w:rsid w:val="3C2B4FD9"/>
    <w:rsid w:val="3CD55E8C"/>
    <w:rsid w:val="3ED6397F"/>
    <w:rsid w:val="3FD621E3"/>
    <w:rsid w:val="405511B0"/>
    <w:rsid w:val="413946E5"/>
    <w:rsid w:val="415A040B"/>
    <w:rsid w:val="41BF0804"/>
    <w:rsid w:val="445B4F51"/>
    <w:rsid w:val="449515A0"/>
    <w:rsid w:val="47B16CDB"/>
    <w:rsid w:val="48E03380"/>
    <w:rsid w:val="4BEB7BAC"/>
    <w:rsid w:val="4C665831"/>
    <w:rsid w:val="4C8835DD"/>
    <w:rsid w:val="4D4425C4"/>
    <w:rsid w:val="4E80366C"/>
    <w:rsid w:val="544D0E06"/>
    <w:rsid w:val="56F52014"/>
    <w:rsid w:val="57392849"/>
    <w:rsid w:val="59635CBB"/>
    <w:rsid w:val="59BE7035"/>
    <w:rsid w:val="5BD526B2"/>
    <w:rsid w:val="5FF75D1E"/>
    <w:rsid w:val="615A6FD4"/>
    <w:rsid w:val="63007E64"/>
    <w:rsid w:val="637C7D45"/>
    <w:rsid w:val="648522B3"/>
    <w:rsid w:val="65AD4F68"/>
    <w:rsid w:val="668410EC"/>
    <w:rsid w:val="67A53811"/>
    <w:rsid w:val="693F0544"/>
    <w:rsid w:val="698B0F02"/>
    <w:rsid w:val="6B735ED1"/>
    <w:rsid w:val="6C5374D3"/>
    <w:rsid w:val="6F2E5353"/>
    <w:rsid w:val="6F912DCA"/>
    <w:rsid w:val="71047897"/>
    <w:rsid w:val="71CC6577"/>
    <w:rsid w:val="746C1710"/>
    <w:rsid w:val="74F860BE"/>
    <w:rsid w:val="7A236ACD"/>
    <w:rsid w:val="7E435896"/>
    <w:rsid w:val="7EAB50F7"/>
    <w:rsid w:val="7F3E4A12"/>
    <w:rsid w:val="7F92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line number"/>
    <w:basedOn w:val="8"/>
    <w:qFormat/>
    <w:uiPriority w:val="0"/>
  </w:style>
  <w:style w:type="character" w:styleId="11">
    <w:name w:val="Hyperlink"/>
    <w:basedOn w:val="8"/>
    <w:qFormat/>
    <w:uiPriority w:val="0"/>
    <w:rPr>
      <w:color w:val="0000FF"/>
      <w:u w:val="single"/>
    </w:rPr>
  </w:style>
  <w:style w:type="paragraph" w:customStyle="1" w:styleId="12">
    <w:name w:val="EndNote Bibliography Title"/>
    <w:qFormat/>
    <w:uiPriority w:val="0"/>
    <w:pPr>
      <w:jc w:val="center"/>
    </w:pPr>
    <w:rPr>
      <w:rFonts w:ascii="Calibri" w:hAnsi="Calibri" w:cs="Calibri" w:eastAsiaTheme="minorEastAsia"/>
      <w:kern w:val="2"/>
      <w:szCs w:val="24"/>
      <w:lang w:val="en-US" w:eastAsia="zh-CN" w:bidi="ar-SA"/>
    </w:rPr>
  </w:style>
  <w:style w:type="paragraph" w:customStyle="1" w:styleId="13">
    <w:name w:val="EndNote Bibliography"/>
    <w:qFormat/>
    <w:uiPriority w:val="0"/>
    <w:pPr>
      <w:jc w:val="both"/>
    </w:pPr>
    <w:rPr>
      <w:rFonts w:ascii="Calibri" w:hAnsi="Calibri" w:cs="Calibri" w:eastAsiaTheme="minorEastAsia"/>
      <w:kern w:val="2"/>
      <w:szCs w:val="24"/>
      <w:lang w:val="en-US" w:eastAsia="zh-CN" w:bidi="ar-SA"/>
    </w:rPr>
  </w:style>
  <w:style w:type="character" w:customStyle="1" w:styleId="14">
    <w:name w:val="页眉 字符"/>
    <w:basedOn w:val="8"/>
    <w:link w:val="4"/>
    <w:qFormat/>
    <w:uiPriority w:val="0"/>
    <w:rPr>
      <w:rFonts w:asciiTheme="minorHAnsi" w:hAnsiTheme="minorHAnsi" w:eastAsiaTheme="minorEastAsia" w:cstheme="minorBidi"/>
      <w:kern w:val="2"/>
      <w:sz w:val="18"/>
      <w:szCs w:val="18"/>
    </w:rPr>
  </w:style>
  <w:style w:type="character" w:customStyle="1" w:styleId="15">
    <w:name w:val="页脚 字符"/>
    <w:basedOn w:val="8"/>
    <w:link w:val="3"/>
    <w:qFormat/>
    <w:uiPriority w:val="0"/>
    <w:rPr>
      <w:rFonts w:asciiTheme="minorHAnsi" w:hAnsiTheme="minorHAnsi" w:eastAsiaTheme="minorEastAsia" w:cstheme="minorBidi"/>
      <w:kern w:val="2"/>
      <w:sz w:val="18"/>
      <w:szCs w:val="18"/>
    </w:rPr>
  </w:style>
  <w:style w:type="paragraph" w:customStyle="1" w:styleId="16">
    <w:name w:val="Compact"/>
    <w:basedOn w:val="2"/>
    <w:qFormat/>
    <w:uiPriority w:val="0"/>
    <w:pPr>
      <w:spacing w:before="36" w:after="36"/>
    </w:pPr>
  </w:style>
  <w:style w:type="table" w:customStyle="1" w:styleId="17">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2166</Words>
  <Characters>12419</Characters>
  <Lines>565</Lines>
  <Paragraphs>134</Paragraphs>
  <TotalTime>1</TotalTime>
  <ScaleCrop>false</ScaleCrop>
  <LinksUpToDate>false</LinksUpToDate>
  <CharactersWithSpaces>14269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2025-10-22T08:48:00Z</dcterms:created>
  <dcterms:modified xsi:type="dcterms:W3CDTF">2026-01-22T08:13:49Z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eyJoZGlkIjoiZTQxZjNjODMzZGRhOWU5YmJlM2VhYTNiMTYzYTQ0NmQiLCJ1c2VySWQiOiIxOTA3NTk1MDkifQ==</vt:lpwstr>
  </property>
  <property fmtid="{D5CDD505-2E9C-101B-9397-08002B2CF9AE}" pid="3" name="KSOProductBuildVer">
    <vt:lpwstr>2052-12.1.0.24657</vt:lpwstr>
  </property>
  <property fmtid="{D5CDD505-2E9C-101B-9397-08002B2CF9AE}" pid="4" name="ICV">
    <vt:lpwstr>38CB850FD6F043C1933D5F94B54A3E59_13</vt:lpwstr>
  </property>
</Properties>
</file>